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 w:after="120"/>
        <w:ind w:firstLine="0"/>
        <w:jc w:val="center"/>
      </w:pPr>
      <w:r>
        <w:rPr>
          <w:rFonts w:ascii="Times New Roman" w:hAnsi="Times New Roman" w:cs="Times New Roman" w:eastAsia="Times New Roman"/>
          <w:b/>
          <w:sz w:val="36"/>
        </w:rPr>
        <w:t>ДОГОВОР № ____</w:t>
      </w:r>
    </w:p>
    <w:p>
      <w:pPr>
        <w:spacing w:after="480"/>
        <w:ind w:firstLine="0"/>
        <w:jc w:val="center"/>
      </w:pPr>
      <w:r>
        <w:rPr>
          <w:rFonts w:ascii="Times New Roman" w:hAnsi="Times New Roman" w:cs="Times New Roman" w:eastAsia="Times New Roman"/>
          <w:sz w:val="26"/>
        </w:rPr>
        <w:t>на предоставление права использования ARSY AI, внедрение и сопровождение</w:t>
      </w:r>
    </w:p>
    <w:p>
      <w:pPr>
        <w:ind w:firstLine="0"/>
        <w:jc w:val="center"/>
      </w:pPr>
      <w:r>
        <w:rPr>
          <w:rFonts w:ascii="Times New Roman" w:hAnsi="Times New Roman" w:cs="Times New Roman" w:eastAsia="Times New Roman"/>
          <w:b/>
          <w:i w:val="0"/>
          <w:sz w:val="22"/>
        </w:rPr>
        <w:t>г. ____________ · «___» __________ 20__ г.</w:t>
      </w:r>
    </w:p>
    <w:p>
      <w:pPr>
        <w:ind w:firstLine="0"/>
        <w:jc w:val="center"/>
      </w:pPr>
      <w:r>
        <w:rPr>
          <w:rFonts w:ascii="Times New Roman" w:hAnsi="Times New Roman" w:cs="Times New Roman" w:eastAsia="Times New Roman"/>
          <w:b/>
          <w:i w:val="0"/>
          <w:sz w:val="22"/>
          <w:highlight w:val="yellow"/>
        </w:rPr>
        <w:t>[[ЗАПОЛНИТЬ: полное наименование интегратора]]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(ОГРН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, ИНН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), именуемое далее </w:t>
      </w:r>
      <w:r>
        <w:rPr>
          <w:rFonts w:ascii="Times New Roman" w:hAnsi="Times New Roman" w:cs="Times New Roman" w:eastAsia="Times New Roman"/>
          <w:b/>
          <w:i w:val="0"/>
          <w:sz w:val="22"/>
        </w:rPr>
        <w:t>«Исполнитель»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, в лице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[[ЗАПОЛНИТЬ: должность, Ф.И.О.]]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, действующего на основании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, с одной стороны, и</w:t>
      </w:r>
    </w:p>
    <w:p>
      <w:pPr>
        <w:ind w:firstLine="0"/>
        <w:jc w:val="center"/>
      </w:pPr>
      <w:r>
        <w:rPr>
          <w:rFonts w:ascii="Times New Roman" w:hAnsi="Times New Roman" w:cs="Times New Roman" w:eastAsia="Times New Roman"/>
          <w:b/>
          <w:i w:val="0"/>
          <w:sz w:val="22"/>
          <w:highlight w:val="yellow"/>
        </w:rPr>
        <w:t>[[ЗАПОЛНИТЬ: полное наименование заказчика]]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(ОГРН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, ИНН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), именуемое далее </w:t>
      </w:r>
      <w:r>
        <w:rPr>
          <w:rFonts w:ascii="Times New Roman" w:hAnsi="Times New Roman" w:cs="Times New Roman" w:eastAsia="Times New Roman"/>
          <w:b/>
          <w:i w:val="0"/>
          <w:sz w:val="22"/>
        </w:rPr>
        <w:t>«Заказчик»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, в лице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, действующего на основании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, с другой стороны,</w:t>
      </w:r>
    </w:p>
    <w:p>
      <w:pPr>
        <w:ind w:firstLine="0"/>
        <w:jc w:val="center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совместно — «Стороны», заключили настоящий Договор о нижеследующем.</w:t>
      </w:r>
    </w:p>
    <w:p>
      <w:pPr>
        <w:ind w:left="567" w:firstLine="0"/>
      </w:pPr>
      <w:r>
        <w:rPr>
          <w:rFonts w:ascii="Times New Roman" w:hAnsi="Times New Roman" w:cs="Times New Roman" w:eastAsia="Times New Roman"/>
          <w:b/>
          <w:i/>
          <w:sz w:val="22"/>
        </w:rPr>
        <w:t>Пояснение о статусе договора (в текст не включается).</w:t>
      </w:r>
      <w:r>
        <w:rPr>
          <w:rFonts w:ascii="Times New Roman" w:hAnsi="Times New Roman" w:cs="Times New Roman" w:eastAsia="Times New Roman"/>
          <w:b w:val="0"/>
          <w:i/>
          <w:sz w:val="22"/>
        </w:rPr>
        <w:t xml:space="preserve"> Исполнитель является сертифицированным партнёром по интеграции ARSY AI и действует на основании лицензионного договора с ООО «АР СТУДИО» (правообладателем ПО на территории Российской Федерации), предоставляющего Исполнителю право использования ПО и право заключения сублицензионных договоров с заказчиками (ст. 1238 ГК РФ). Настоящий Договор является смешанным (п. 3 ст. 421 ГК РФ): в части ПО — сублицензионным, в части внедрения и поддержки — договором возмездного оказания услуг/подряда, в части оборудования (при наличии) — договором поставки.</w:t>
      </w:r>
    </w:p>
    <w:p>
      <w:pPr>
        <w:pageBreakBefore/>
        <w:spacing w:after="240"/>
        <w:ind w:firstLine="0"/>
        <w:jc w:val="center"/>
      </w:pPr>
      <w:r>
        <w:rPr>
          <w:rFonts w:ascii="Times New Roman" w:hAnsi="Times New Roman" w:cs="Times New Roman" w:eastAsia="Times New Roman"/>
          <w:b/>
          <w:sz w:val="26"/>
        </w:rPr>
        <w:t>СОДЕРЖАНИЕ</w:t>
      </w:r>
    </w:p>
    <w:p>
      <w:pPr>
        <w:ind w:firstLine="0"/>
      </w:pPr>
      <w:r>
        <w:fldChar w:fldCharType="begin"/>
        <w:instrText xml:space="preserve">TOC \o "1-2" \h \z \u</w:instrText>
        <w:fldChar w:fldCharType="separate"/>
        <w:fldChar w:fldCharType="end"/>
      </w:r>
    </w:p>
    <w:p>
      <w:pPr>
        <w:ind w:firstLine="0"/>
        <w:jc w:val="center"/>
      </w:pPr>
      <w:r>
        <w:rPr>
          <w:rFonts w:ascii="Times New Roman" w:hAnsi="Times New Roman" w:cs="Times New Roman" w:eastAsia="Times New Roman"/>
          <w:i/>
          <w:color w:val="808080"/>
          <w:sz w:val="16"/>
        </w:rPr>
        <w:t>(если оглавление пустое — выделите его и нажмите F9)</w:t>
      </w:r>
    </w:p>
    <w:p>
      <w:pPr>
        <w:pStyle w:val="Heading2"/>
        <w:keepNext/>
        <w:pageBreakBefore/>
      </w:pPr>
      <w:r>
        <w:rPr>
          <w:rFonts w:ascii="Times New Roman" w:hAnsi="Times New Roman" w:cs="Times New Roman" w:eastAsia="Times New Roman"/>
          <w:b/>
          <w:i w:val="0"/>
          <w:sz w:val="23"/>
        </w:rPr>
        <w:t>1. ТЕРМИНЫ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Термины, начинающиеся с заглавной буквы и не определённые в настоящем Договоре, применяются в значениях, установленных условиями использования ARSY AI, размещёнными по адресу https://arsy.ai/ru/offer/customer.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1.1. «ПО», «ARSY AI»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программа для ЭВМ «ARSY AI» и её компоненты (VPS-движок AR Clip, AI-агент и обученные модели, функциональные модули, клиентские приложения, документация) в объёме приобретённого Тарифа, включая обновления в течение Срока сублицензии.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1.2. «Правообладатель»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ООО «АР СТУДИО» (ОГРН 1215000087631, ИНН 5047255236), которому принадлежит исключительное право на ПО, действующее на территории Российской Федерации.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1.3. «Тариф»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набор функциональных возможностей и количественных ограничений ПО (Lite / Starter / Professional / Enterprise), определённый Заявкой и описанием тарифов Правообладателя.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1.4. «Вариант поставки»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«Облако» (ПО на инфраструктуре Правообладателя) или «On-Premise» (ПО на сервере в сети Заказчика; доступен начиная с Тарифа Professional).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1.5. «Площадка», «Подключённая машина», «AR-устройство», «Пользователь», «Контент Заказчика»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в значениях условий использования ARSY AI (п. 2 указанных условий).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1.6. «Работы по внедрению»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пространственное сканирование Площадок, регистрация оборудования, настройка, разработка сценариев, обучение персонала Заказчика.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1.7. «Поддержка первой линии»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приём и обработка обращений Заказчика Исполнителем с эскалацией нерешённых обращений на вторую линию (Правообладателю).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1.8. «Заявка (Спецификация)»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Приложение № 1, определяющее Тариф, Вариант поставки, перечень Площадок, количество Подключённых машин и AR-устройств, Срок сублицензии, состав Работ по внедрению, поставляемое Оборудование (при наличии), а также цену и порядок оплаты.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1.9. «Срок сублицензии»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период предоставления права использования ПО, определённый Заявкой.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2. ПРЕДМЕТ ДОГОВОРА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2.1. По настоящему Договору Исполнитель обязуется: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1) предоставить Заказчику право использования ПО (сублицензию) в пределах, установленных разделом 3;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2) выполнить Работы по внедрению (раздел 5);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3) оказывать Поддержку первой линии в течение Срока сублицензии (раздел 6);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4) при наличии в Заявке — поставить Оборудование (раздел 7);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а Заказчик обязуется принять и оплатить перечисленное в порядке раздела 8.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2.2. Исполнитель предоставляет сублицензию в пределах прав, полученных им от Правообладателя, и на срок, не превышающий срока действия собственных прав Исполнителя. Права Заказчика по настоящему Договору не могут быть шире прав Исполнителя.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2.3. Настоящий Договор не является договором на разработку ПО и не влечёт передачи Заказчику каких-либо исключительных прав на ПО (раздел 9).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3. СУБЛИЦЕНЗИЯ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3.1. Исполнитель предоставляет Заказчику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простую (неисключительную) сублицензию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на использование ПО в течение Срока сублицензии, в отношении Площадок и оборудования, указанных в Заявке.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3.2. </w:t>
      </w:r>
      <w:r>
        <w:rPr>
          <w:rFonts w:ascii="Times New Roman" w:hAnsi="Times New Roman" w:cs="Times New Roman" w:eastAsia="Times New Roman"/>
          <w:b/>
          <w:i w:val="0"/>
          <w:sz w:val="22"/>
        </w:rPr>
        <w:t>Способы использования.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Сублицензия предоставляется исключительно следующими способами: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1) воспроизведение ПО, ограниченное записью в память ЭВМ и запуском, в объёме, необходимом для функционирования по назначению;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2) при Варианте поставки On-Premise — установка Экземпляра ПО на сервер Заказчика и его эксплуатация;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3) при Варианте поставки «Облако» — удалённый доступ к функциональным возможностям ПО через сеть «Интернет»;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4) установка и использование клиентских приложений на зарегистрированных AR-устройствах;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5) создание, хранение и исполнение процедур, обучающих курсов и сценариев в отношении Площадок и Подключённых машин из Заявки;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6) воспроизведение и распространение документации внутри организации Заказчика в объёме, необходимом для обучения Пользователей.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3.3.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Пределы использования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определяются приобретённым Тарифом и Заявкой (количество Площадок, AR-устройств, одновременных ВКС-сессий, обучающих курсов, доступность модулей).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Количество Пользователей не ограничивается и не тарифицируется.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3.4.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Ограничения.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Заказчик не вправе и не допускает со стороны своих Пользователей, работников и подрядчиков: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1) распространять ПО, предоставлять к нему доступ третьим лицам, передавать права по Договору (сублицензирование, аренда, залог и т. п.), кроме прямо разрешённого;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2) модифицировать, перерабатывать ПО, создавать производные произведения;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3) декомпилировать, дизассемблировать, осуществлять обратное проектирование ПО, извлекать веса и параметры обученных моделей, использовать выходные данные ПО для обучения конкурирующих моделей;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4) удалять или изменять знаки охраны, товарные знаки, сведения о версии и лицензировании;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5) обходить технические средства защиты, лицензионные ключи и механизмы контроля пределов использования;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6) использовать ПО для создания конкурирующего продукта.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Ограничения подпунктов 2 и 3 не применяются в пределах, прямо разрешённых ст. 1280 ГК РФ.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3.5. </w:t>
      </w:r>
      <w:r>
        <w:rPr>
          <w:rFonts w:ascii="Times New Roman" w:hAnsi="Times New Roman" w:cs="Times New Roman" w:eastAsia="Times New Roman"/>
          <w:b/>
          <w:i w:val="0"/>
          <w:sz w:val="22"/>
        </w:rPr>
        <w:t>Территория: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Российская Федерация. При Варианте поставки On-Premise использование ограничивается местами нахождения Площадок из Заявки.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3.6. Право использования ПО считается предоставленным с даты, указанной в п. 5.1 (Облако) или п. 5.2 (On-Premise). Именно эта дата является началом Срока сублицензии, если Заявкой не установлено иное.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3.7. Заказчик присоединяется к условиям использования ARSY AI (https://arsy.ai/ru/offer/customer) в части, не противоречащей настоящему Договору. При противоречии преимущественную силу имеет настоящий Договор.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4. ПРЕДОСТАВЛЕНИЕ ДОСТУПА И КЛЮЧА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4.1.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Облако.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В срок не более 5 (пяти) рабочих дней с даты, определённой Заявкой (но не ранее оплаты по п. 8), Исполнитель обеспечивает создание Экземпляра ПО и передаёт Заказчику учётные данные администратора.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4.2. </w:t>
      </w:r>
      <w:r>
        <w:rPr>
          <w:rFonts w:ascii="Times New Roman" w:hAnsi="Times New Roman" w:cs="Times New Roman" w:eastAsia="Times New Roman"/>
          <w:b/>
          <w:i w:val="0"/>
          <w:sz w:val="22"/>
        </w:rPr>
        <w:t>On-Premise.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Исполнитель передаёт Заказчику дистрибутив Экземпляра ПО и лицензионный ключ (ссылкой для скачивания либо на носителе) и выполняет установку в рамках Работ по внедрению. Требования к серверному оборудованию Заказчика приведены в описании ARSY AI; обеспечение их соблюдения — обязанность Заказчика и не освобождает от оплаты.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4.3. Заказчик обеспечивает на своей стороне каналы связи, электропитание, доступ AR-устройств к Экземпляру ПО и организационные условия для сканирования Площадок.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5. РАБОТЫ ПО ВНЕДРЕНИЮ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5.1. Состав, сроки и этапы Работ по внедрению определяются Заявкой и включают: пространственное сканирование Площадок, регистрацию Подключённых машин и AR-устройств, настройку, разработку сценариев и обучающих курсов, обучение персонала Заказчика.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5.2. Исполнитель выполняет Работы по внедрению по методическим материалам Правообладателя.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5.3. </w:t>
      </w:r>
      <w:r>
        <w:rPr>
          <w:rFonts w:ascii="Times New Roman" w:hAnsi="Times New Roman" w:cs="Times New Roman" w:eastAsia="Times New Roman"/>
          <w:b/>
          <w:i w:val="0"/>
          <w:sz w:val="22"/>
        </w:rPr>
        <w:t>Сдача-приёмка.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По завершении этапа (или всех Работ) Исполнитель направляет Заказчику акт. Заказчик в течение 5 (пяти) рабочих дней подписывает акт либо направляет мотивированный отказ с перечнем недостатков. При непоступлении в указанный срок подписанного акта и мотивированного отказа Работы считаются принятыми.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5.4. Выявленные обоснованные недостатки Исполнитель устраняет в согласованный Сторонами срок без дополнительной платы.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5.5. Заказчик обеспечивает Исполнителю доступ к Площадкам, оборудованию, необходимой документации и назначает ответственных лиц. Просрочка Заказчика в предоставлении доступа продлевает сроки Работ соразмерно.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6. ПОДДЕРЖКА ПЕРВОЙ ЛИНИИ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6.1. Исполнитель оказывает Поддержку первой линии в объёме и в сроки, установленные Приложением № 2, в соответствии с приобретённым Тарифом.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6.2. Обращения принимаются по каналам, указанным в Приложении № 2. Обращения, не отнесённые к компетенции первой линии, Исполнитель эскалирует на вторую линию Правообладателя.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6.3. Обязательства по доступности (SLA) применяются только к Варианту поставки «Облако» и только к Тарифам Professional (99 %) и Enterprise (99,5 %); для Тарифов Lite и Starter SLA доступности не устанавливается. При Варианте поставки On-Premise доступность Экземпляра ПО обеспечивает Заказчик.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7. ОБОРУДОВАНИЕ (при наличии в Заявке)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7.1. Если Заявкой предусмотрена поставка Оборудования (AR-очки, планшеты, серверы и т. п.), Исполнитель передаёт его Заказчику по акту приёма-передачи; право собственности и риск случайной гибели переходят к Заказчику с даты передачи.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7.2. На Оборудование распространяется гарантия его изготовителя. Претензии по качеству Оборудования рассматриваются в порядке, установленном изготовителем; Исполнитель оказывает разумное содействие.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7.3. Раздел не применяется, если Заявка поставки Оборудования не предусматривает.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8. ЦЕНА И ПОРЯДОК РАСЧЁТОВ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8.1. Цена Договора складывается из: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1) </w:t>
      </w:r>
      <w:r>
        <w:rPr>
          <w:rFonts w:ascii="Times New Roman" w:hAnsi="Times New Roman" w:cs="Times New Roman" w:eastAsia="Times New Roman"/>
          <w:b/>
          <w:i w:val="0"/>
          <w:sz w:val="22"/>
        </w:rPr>
        <w:t>вознаграждения за сублицензию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базовая плата за Площадку и плата за каждую Подключённую машину, по Тарифу;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2) </w:t>
      </w:r>
      <w:r>
        <w:rPr>
          <w:rFonts w:ascii="Times New Roman" w:hAnsi="Times New Roman" w:cs="Times New Roman" w:eastAsia="Times New Roman"/>
          <w:b/>
          <w:i w:val="0"/>
          <w:sz w:val="22"/>
        </w:rPr>
        <w:t>стоимости Работ по внедрению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— определяется Исполнителем самостоятельно и указывается в Заявке;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3) </w:t>
      </w:r>
      <w:r>
        <w:rPr>
          <w:rFonts w:ascii="Times New Roman" w:hAnsi="Times New Roman" w:cs="Times New Roman" w:eastAsia="Times New Roman"/>
          <w:b/>
          <w:i w:val="0"/>
          <w:sz w:val="22"/>
        </w:rPr>
        <w:t>стоимости Поддержки первой линии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(если тарифицируется отдельно);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4) </w:t>
      </w:r>
      <w:r>
        <w:rPr>
          <w:rFonts w:ascii="Times New Roman" w:hAnsi="Times New Roman" w:cs="Times New Roman" w:eastAsia="Times New Roman"/>
          <w:b/>
          <w:i w:val="0"/>
          <w:sz w:val="22"/>
        </w:rPr>
        <w:t>стоимости Оборудования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(при наличии).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Конкретные суммы, периодичность и порядок оплаты устанавливаются Заявкой.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8.2. Вознаграждение за сублицензию уплачивается авансом за соответствующий Расчётный период (месяц или год по выбору Заказчика). При годовой оплате предоставляется скидка согласно Заявке.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8.3. Обязательство по оплате считается исполненным при зачислении средств на счёт Исполнителя. Банковские расходы несёт плательщик.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8.4.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Налоги.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Цена указана с учётом / без учёта НДС согласно Заявке и налоговому статусу Исполнителя.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[[ЗАПОЛНИТЬ: выбрать режим НДС Исполнителя]]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8.5.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Просрочка оплаты.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При просрочке более 10 (десяти) рабочих дней Исполнитель вправе, предварительно уведомив, приостановить доступ к ПО и/или оказание услуг до погашения задолженности; приостановление не продлевает Срок сублицензии. Неустойка —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[[ЗАПОЛНИТЬ: например, 0,1 % за день, но не более 10 %]]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8.6. Изменение вознаграждения за сублицензию возможно в порядке, предусмотренном условиями использования ARSY AI (с уведомлением не менее чем за 60 дней; к оплаченному периоду не применяется).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9. ПРАВА НА ПО И НА КОНТЕНТ ЗАКАЗЧИКА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9.1.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Права на ПО.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Исключительное право на ПО (включая AR Clip VPS, AI-агент и обученные модели, интерфейсы, документацию, обновления и улучшения), действующее на территории Российской Федерации, принадлежит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Правообладателю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. Ни Исполнитель, ни Заказчик прав на ПО не приобретают; настоящий Договор предоставляет только право пользования ПО. Результаты доработки функциональной логики входят в состав ПО и принадлежат Правообладателю.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9.2.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Права на Контент Заказчика.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Контент Заказчика (сканы и пространственные карты, процедуры, курсы, загруженная документация, зафиксированные подтверждения, записи сессий, данные о действиях Пользователей) принадлежит Заказчику. Ни Исполнитель, ни Правообладатель не приобретают на него исключительных прав. Правообладатель получает лишь ограниченную безвозмездную лицензию хранить и обрабатывать Контент Заказчика исключительно ради оказания услуги и только на Срок сублицензии.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9.3. При Варианте поставки On-Premise Контент Заказчика не покидает инфраструктуру Заказчика и Исполнителю/Правообладателю не передаётся, за исключением доступа при обращении за поддержкой, в необходимом объёме и с ведома Заказчика.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9.4. Заказчик гарантирует, что обладает всеми правами, необходимыми для размещения Контента Заказчика в ПО, и что такое размещение не нарушает прав третьих лиц.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10. ПЕРСОНАЛЬНЫЕ ДАННЫЕ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10.1. В отношении персональных данных, обрабатываемых в ПО, Заказчик выступает </w:t>
      </w:r>
      <w:r>
        <w:rPr>
          <w:rFonts w:ascii="Times New Roman" w:hAnsi="Times New Roman" w:cs="Times New Roman" w:eastAsia="Times New Roman"/>
          <w:b/>
          <w:i w:val="0"/>
          <w:sz w:val="22"/>
        </w:rPr>
        <w:t>оператором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. Заказчик обеспечивает правовые основания обработки, информирование субъектов и получение необходимых согласий.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10.2. При Варианте поставки «Облако» обработка персональных данных осуществляется Правообладателем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по поручению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Заказчика; условия поручения установлены соответствующим приложением условий использования ARSY AI (обработка на территории Российской Федерации, ч. 5 ст. 18 Федерального закона № 152-ФЗ). Исполнитель самостоятельным оператором в отношении этих данных не является.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10.3. При Варианте поставки On-Premise персональные данные обрабатываются в инфраструктуре Заказчика и Правообладателю не передаются.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11. КОНФИДЕНЦИАЛЬНОСТЬ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11.1. Конфиденциальной признаётся информация, переданная одной Стороной другой в связи с Договором и обозначенная как конфиденциальная либо явно относящаяся к таковой (в том числе Контент Заказчика, техническая архитектура ПО, коммерческие условия, сведения о Площадках и процессах).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11.2. Принимающая Сторона не раскрывает конфиденциальную информацию третьим лицам без письменного согласия, использует её только для исполнения Договора и защищает не меньшей степенью заботливости, чем собственную, но не менее разумной. Раскрытие допускается работникам и подрядчикам, связанным равными обязательствами, а также по требованию закона с предварительным уведомлением, если оно не запрещено.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11.3. Обязательство действует в течение срока Договора и 5 (пяти) лет после его прекращения.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12. ЗАВЕРЕНИЯ. ГАРАНТИИ И ИХ ОГРАНИЧЕНИЕ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12.1. Исполнитель заверяет (ст. 431.2 ГК РФ), что является действующим сертифицированным партнёром по интеграции ARSY AI и обладает правом предоставления Заказчику сублицензии в объёме настоящего Договора.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12.2. Исполнитель гарантирует, что ПО функционирует в соответствии с документацией при соблюдении Заказчиком требований к инфраструктуре и правил эксплуатации.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В остальном ПО предоставляется «как есть».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Исполнитель не гарантирует бесперебойной и безошибочной работы, соответствия субъективным ожиданиям Заказчика и достижения конкретных экономических результатов.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12.3. </w:t>
      </w:r>
      <w:r>
        <w:rPr>
          <w:rFonts w:ascii="Times New Roman" w:hAnsi="Times New Roman" w:cs="Times New Roman" w:eastAsia="Times New Roman"/>
          <w:b/>
          <w:i w:val="0"/>
          <w:sz w:val="22"/>
        </w:rPr>
        <w:t>Результаты работы AI-агента носят рекомендательный характер и подлежат проверке Заказчиком.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Ответственность за решения, принятые на их основании, несёт Заказчик.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12.4.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Отсутствие сертификаций.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Стороны исходят из того, что в отношении ПО на дату Договора отсутствуют: отчёт SOC 2, сертификация ISO/IEC 27001, пакет валидации 21 CFR Part 11 / GAMP 5, опубликованный отчёт о независимом тестировании на проникновение. Заказчик подтверждает, что осведомлён об этом и не полагался на их наличие. Валидация процессов, в которых применяется ПО, остаётся зоной ответственности Заказчика.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12.5.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Назначение ПО.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ARSY AI является инструментом информационного сопровождения и обучения и </w:t>
      </w:r>
      <w:r>
        <w:rPr>
          <w:rFonts w:ascii="Times New Roman" w:hAnsi="Times New Roman" w:cs="Times New Roman" w:eastAsia="Times New Roman"/>
          <w:b/>
          <w:i w:val="0"/>
          <w:sz w:val="22"/>
        </w:rPr>
        <w:t>не является средством обеспечения промышленной безопасности, системой противоаварийной защиты, АСУ ТП или медицинским изделием.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Использование ПО не освобождает Заказчика от собственных обязанностей в области охраны труда, промышленной безопасности и надзора.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13. ОТВЕТСТВЕННОСТЬ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13.1. Стороны несут ответственность в соответствии с законодательством Российской Федерации с учётом ограничений настоящего раздела.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13.2.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Предел ответственности.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Совокупная ответственность Исполнителя за все случаи в течение любых 12 (двенадцати) следующих подряд месяцев ограничивается суммой, фактически уплаченной Заказчиком Исполнителю по настоящему Договору за 12 месяцев, предшествующих событию, послужившему основанием ответственности.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13.3.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Исключаемые убытки.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Исполнитель не отвечает за упущенную выгоду, убытки от простоя производства, утрату или искажение данных (кроме вызванных нарушением прямо принятых обязанностей по резервному копированию) и иные косвенные убытки.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13.4. Ограничения пп. 13.2–13.3 не применяются к ответственности за умышленное нарушение, нарушение конфиденциальности, нарушение исключительных прав другой Стороны и причинение вреда жизни и здоровью.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13.5. Исполнитель несёт самостоятельную ответственность за качество и результат собственных Работ по внедрению и Поддержки первой линии.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13.6. </w:t>
      </w:r>
      <w:r>
        <w:rPr>
          <w:rFonts w:ascii="Times New Roman" w:hAnsi="Times New Roman" w:cs="Times New Roman" w:eastAsia="Times New Roman"/>
          <w:b/>
          <w:i w:val="0"/>
          <w:sz w:val="22"/>
        </w:rPr>
        <w:t>Форс-мажор.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Стороны освобождаются от ответственности за неисполнение, вызванное обстоятельствами непреодолимой силы, с уведомлением другой Стороны в течение 10 (десяти) рабочих дней. При их длительности свыше 3 (трёх) месяцев любая Сторона вправе отказаться от Договора с расчётами за фактически предоставленное.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14. СРОК. ПРОДЛЕНИЕ. РАСТОРЖЕНИЕ. ПОСЛЕДСТВИЯ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14.1. Договор действует с даты подписания до истечения Срока сублицензии, а в части неисполненных обязательств — до их исполнения. Если Заявкой предусмотрено автоматическое продление, Срок сублицензии продлевается на равные периоды, если Сторона не уведомит об отказе не менее чем за 30 (тридцать) дней до окончания текущего периода.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14.2.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Последствия прекращения подписки.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Принадлежность Контента Заказчика не зависит от подписки. С прекращением Срока сублицензии прекращается доступ к ПО и функциям, работающим с Контентом Заказчика; сам Контент при этом не удаляется. В течение 90 (девяноста) календарных дней после прекращения Заказчик вправе получить выгрузку Контента Заказчика в машиночитаемых форматах (при отсутствии задолженности). По истечении этого срока Контент может быть удалён.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14.3. При Варианте поставки On-Premise прекращение Срока сублицензии влечёт прекращение действия лицензионного ключа; Заказчик в течение 30 (тридцати) дней прекращает использование и удаляет копии ПО (кроме резервных копий с Контентом Заказчика, из которых ПО не восстанавливается).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14.4.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Непрерывность обслуживания.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Прекращение прав Исполнителя перед Правообладателем само по себе не прекращает права Заказчика по настоящему Договору при условии поступления Правообладателю вознаграждения за оплаченный период; в этом случае обслуживание Заказчика вправе принять Правообладатель или иной сертифицированный партнёр.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14.5. </w:t>
      </w:r>
      <w:r>
        <w:rPr>
          <w:rFonts w:ascii="Times New Roman" w:hAnsi="Times New Roman" w:cs="Times New Roman" w:eastAsia="Times New Roman"/>
          <w:b/>
          <w:i w:val="0"/>
          <w:sz w:val="22"/>
        </w:rPr>
        <w:t>Односторонний отказ.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Заказчик вправе отказаться от Договора, уведомив за 30 (тридцать) дней; вознаграждение за оплаченный период не возвращается, кроме случаев, прямо предусмотренных Договором. Исполнитель вправе отказаться при просрочке оплаты более 30 дней либо при существенном нарушении Заказчиком ограничений сублицензии, не устранённом в течение 15 рабочих дней с даты уведомления.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15. ПРИМЕНИМОЕ ПРАВО. РАЗРЕШЕНИЕ СПОРОВ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15.1. К Договору применяется материальное право Российской Федерации.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15.2. Претензионный порядок обязателен; срок ответа на претензию — 20 (двадцать) календарных дней. При недостижении согласия спор передаётся в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[[ЗАПОЛНИТЬ: Арбитражный суд ____ / по месту нахождения Исполнителя]]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16. УВЕДОМЛЕНИЯ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16.1. Юридически значимые сообщения (ст. 165.1 ГК РФ) направляются по адресам электронной почты и почтовым адресам, указанным в реквизитах, а также через систему электронного документооборота. Сообщение по электронной почте считается полученным на следующий рабочий день после отправки.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16.2. Об изменении реквизитов Сторона уведомляет другую в течение 5 (пяти) рабочих дней; до уведомления сообщения по прежним реквизитам считаются направленными надлежаще.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17. ЗАКЛЮЧИТЕЛЬНЫЕ ПОЛОЖЕНИЯ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17.1. Договор и Приложения составляют полное соглашение Сторон по его предмету. Недействительность отдельного положения не влечёт недействительности прочих.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17.2. Приложения, являющиеся неотъемлемой частью Договора: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— Приложение № 1 — Заявка (Спецификация);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— Приложение № 2 — Регламент поддержки первой линии и уровни обслуживания;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— Приложение № 3 — Форма акта сдачи-приёмки Работ / предоставления права использования;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Times New Roman"/>
          <w:b w:val="0"/>
          <w:i w:val="0"/>
          <w:sz w:val="22"/>
        </w:rPr>
        <w:t>— Приложение № 4 — [[при Варианте поставки «Облако»: поручение на обработку персональных данных / ссылка на приложение условий использования]].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17.3. Договор составлен в двух экземплярах, по одному для каждой Стороны (либо подписан в форме электронного документа).</w:t>
      </w:r>
    </w:p>
    <w:p>
      <w:pPr>
        <w:pStyle w:val="Heading2"/>
        <w:keepNext/>
      </w:pPr>
      <w:r>
        <w:rPr>
          <w:rFonts w:ascii="Times New Roman" w:hAnsi="Times New Roman" w:cs="Times New Roman" w:eastAsia="Times New Roman"/>
          <w:b/>
          <w:i w:val="0"/>
          <w:sz w:val="23"/>
        </w:rPr>
        <w:t>18. РЕКВИЗИТЫ И ПОДПИСИ СТОРОН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77"/>
        <w:gridCol w:w="4677"/>
      </w:tblGrid>
      <w:tr>
        <w:trPr>
          <w:tblHeader w:val="true"/>
        </w:trPr>
        <w:tc>
          <w:tcPr>
            <w:tcW w:type="dxa" w:w="4677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Исполнитель</w:t>
            </w:r>
          </w:p>
        </w:tc>
        <w:tc>
          <w:tcPr>
            <w:tcW w:type="dxa" w:w="4677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Заказчик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  <w:highlight w:val="yellow"/>
              </w:rPr>
              <w:t>[[ЗАПОЛНИТЬ: наименование]]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  <w:highlight w:val="yellow"/>
              </w:rPr>
              <w:t>[[ЗАПОЛНИТЬ: наименование]]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ОГРН / ИНН / КПП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ОГРН / ИНН / КПП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Адрес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Адрес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Банковские реквизиты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Банковские реквизиты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Электронная почта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Электронная почта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_________________ / __________ /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_________________ / __________ /</w:t>
            </w:r>
          </w:p>
        </w:tc>
      </w:tr>
    </w:tbl>
    <w:p>
      <w:pPr>
        <w:spacing w:after="80"/>
      </w:pPr>
    </w:p>
    <w:p>
      <w:pPr>
        <w:pStyle w:val="Heading1"/>
        <w:keepNext/>
        <w:pageBreakBefore/>
        <w:jc w:val="center"/>
      </w:pPr>
      <w:r>
        <w:rPr>
          <w:rFonts w:ascii="Times New Roman" w:hAnsi="Times New Roman" w:cs="Times New Roman" w:eastAsia="Times New Roman"/>
          <w:b/>
          <w:i w:val="0"/>
          <w:sz w:val="26"/>
        </w:rPr>
        <w:t>ПРИЛОЖЕНИЕ № 1. ЗАЯВКА (СПЕЦИФИКАЦИЯ) № ____ от «___» ________ 20__ г.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tblHeader w:val="true"/>
        </w:trPr>
        <w:tc>
          <w:tcPr>
            <w:tcW w:type="dxa" w:w="3118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3118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Параметр</w:t>
            </w:r>
          </w:p>
        </w:tc>
        <w:tc>
          <w:tcPr>
            <w:tcW w:type="dxa" w:w="3118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Значение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Тариф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Lite / Starter / Professional / Enterprise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Вариант поставки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Облако / On-Premise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Перечень Площадок (наименование, адрес)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4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Количество Подключённых машин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Количество AR-устройств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6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Состав Работ по внедрению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7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Поставляемое Оборудование (при наличии)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8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Срок сублицензии (начало — окончание)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9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Расчётный период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Месяц / Год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10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Автоматическое продление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Да / Нет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11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Вознаграждение за сублицензию (за Площадку / за машину)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12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Стоимость Работ по внедрению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13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Стоимость Поддержки (если отдельно)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14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Стоимость Оборудования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15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Порядок и сроки оплаты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16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Ответственные лица Сторон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</w:tbl>
    <w:p>
      <w:pPr>
        <w:spacing w:after="80"/>
      </w:pP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Исполнитель: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____________ / ________ /　　</w:t>
      </w:r>
      <w:r>
        <w:rPr>
          <w:rFonts w:ascii="Times New Roman" w:hAnsi="Times New Roman" w:cs="Times New Roman" w:eastAsia="Times New Roman"/>
          <w:b/>
          <w:i w:val="0"/>
          <w:sz w:val="22"/>
        </w:rPr>
        <w:t>Заказчик: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____________ / ________ /</w:t>
      </w:r>
    </w:p>
    <w:p>
      <w:pPr>
        <w:pStyle w:val="Heading1"/>
        <w:keepNext/>
        <w:pageBreakBefore/>
        <w:jc w:val="center"/>
      </w:pPr>
      <w:r>
        <w:rPr>
          <w:rFonts w:ascii="Times New Roman" w:hAnsi="Times New Roman" w:cs="Times New Roman" w:eastAsia="Times New Roman"/>
          <w:b/>
          <w:i w:val="0"/>
          <w:sz w:val="26"/>
        </w:rPr>
        <w:t>ПРИЛОЖЕНИЕ № 2. РЕГЛАМЕНТ ПОДДЕРЖКИ ПЕРВОЙ ЛИНИИ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Каналы: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</w:t>
      </w:r>
      <w:r>
        <w:rPr>
          <w:rFonts w:ascii="Times New Roman" w:hAnsi="Times New Roman" w:cs="Times New Roman" w:eastAsia="Times New Roman"/>
          <w:b w:val="0"/>
          <w:i w:val="0"/>
          <w:sz w:val="22"/>
          <w:highlight w:val="yellow"/>
        </w:rPr>
        <w:t>[[ЗАПОЛНИТЬ: e-mail поддержки Исполнителя, телефон, портал]]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>; эскалация на вторую линию — support@arsy.ai.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Режим: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Lite/Starter — электронная почта, рабочие дни; Professional — 8×5; Enterprise — 24×7.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Время реакции (пример, уточняется Исполнителем):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39"/>
        <w:gridCol w:w="2339"/>
        <w:gridCol w:w="2339"/>
        <w:gridCol w:w="2339"/>
      </w:tblGrid>
      <w:tr>
        <w:trPr>
          <w:tblHeader w:val="true"/>
        </w:trPr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Приоритет</w:t>
            </w:r>
          </w:p>
        </w:tc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Описание</w:t>
            </w:r>
          </w:p>
        </w:tc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Professional</w:t>
            </w:r>
          </w:p>
        </w:tc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/>
                <w:i w:val="0"/>
                <w:sz w:val="18"/>
              </w:rPr>
              <w:t>Enterprise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P1 — критический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Полная недоступность / невозможность основных сценариев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4 рабочих часа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 час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P2 — высокий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Существенное ограничение функциональности, без обходного решения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8 рабочих часов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4 часа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P3 — средний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Частичное нарушение, есть обходное решение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2 рабочих дня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1 рабочий день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P4 — низкий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Консультации, вопросы по документации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5 рабочих дней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Times New Roman"/>
                <w:b w:val="0"/>
                <w:i w:val="0"/>
                <w:sz w:val="18"/>
              </w:rPr>
              <w:t>3 рабочих дня</w:t>
            </w:r>
          </w:p>
        </w:tc>
      </w:tr>
    </w:tbl>
    <w:p>
      <w:pPr>
        <w:spacing w:after="80"/>
      </w:pP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Для Lite/Starter — 3 рабочих дня по любому приоритету; обязательства по времени решения не устанавливаются.</w:t>
      </w:r>
    </w:p>
    <w:p>
      <w:pPr>
        <w:pStyle w:val="Heading1"/>
        <w:keepNext/>
        <w:pageBreakBefore/>
        <w:jc w:val="center"/>
      </w:pPr>
      <w:r>
        <w:rPr>
          <w:rFonts w:ascii="Times New Roman" w:hAnsi="Times New Roman" w:cs="Times New Roman" w:eastAsia="Times New Roman"/>
          <w:b/>
          <w:i w:val="0"/>
          <w:sz w:val="26"/>
        </w:rPr>
        <w:t>ПРИЛОЖЕНИЕ № 3. ФОРМА АКТА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АКТ № ____ от «___» ________ 20__ г.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сдачи-приёмки Работ по внедрению / предоставления права использования ПО ARSY AI по Договору № ____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Исполнитель передал, а Заказчик принял: [[перечень: предоставление сублицензии на Тариф ____ / этап Работ по внедрению ____ / поставку Оборудования ____]].</w:t>
      </w:r>
    </w:p>
    <w:p>
      <w:r>
        <w:rPr>
          <w:rFonts w:ascii="Times New Roman" w:hAnsi="Times New Roman" w:cs="Times New Roman" w:eastAsia="Times New Roman"/>
          <w:b w:val="0"/>
          <w:i w:val="0"/>
          <w:sz w:val="22"/>
        </w:rPr>
        <w:t>Работы (услуги) выполнены в полном объёме и в срок, Заказчик претензий по объёму и качеству не имеет / имеет: [[указать]].</w:t>
      </w:r>
    </w:p>
    <w:p>
      <w:r>
        <w:rPr>
          <w:rFonts w:ascii="Times New Roman" w:hAnsi="Times New Roman" w:cs="Times New Roman" w:eastAsia="Times New Roman"/>
          <w:b/>
          <w:i w:val="0"/>
          <w:sz w:val="22"/>
        </w:rPr>
        <w:t>Исполнитель: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____________ / ________ /　　</w:t>
      </w:r>
      <w:r>
        <w:rPr>
          <w:rFonts w:ascii="Times New Roman" w:hAnsi="Times New Roman" w:cs="Times New Roman" w:eastAsia="Times New Roman"/>
          <w:b/>
          <w:i w:val="0"/>
          <w:sz w:val="22"/>
        </w:rPr>
        <w:t>Заказчик:</w:t>
      </w:r>
      <w:r>
        <w:rPr>
          <w:rFonts w:ascii="Times New Roman" w:hAnsi="Times New Roman" w:cs="Times New Roman" w:eastAsia="Times New Roman"/>
          <w:b w:val="0"/>
          <w:i w:val="0"/>
          <w:sz w:val="22"/>
        </w:rPr>
        <w:t xml:space="preserve"> ____________ / ________ /</w:t>
      </w:r>
    </w:p>
    <w:sectPr w:rsidR="00FC693F" w:rsidRPr="0006063C" w:rsidSect="00034616">
      <w:footerReference w:type="default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r>
      <w:rPr>
        <w:rFonts w:ascii="Times New Roman" w:hAnsi="Times New Roman" w:cs="Times New Roman" w:eastAsia="Times New Roman"/>
        <w:color w:val="606060"/>
        <w:sz w:val="16"/>
      </w:rPr>
      <w:t xml:space="preserve">Договор ARSY AI · интегратор → заказчик · РФ · образец · стр. </w:t>
    </w:r>
    <w:r>
      <w:rPr>
        <w:rFonts w:ascii="Times New Roman" w:hAnsi="Times New Roman" w:cs="Times New Roman" w:eastAsia="Times New Roman"/>
        <w:color w:val="606060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276" w:lineRule="auto"/>
      <w:ind w:firstLine="709"/>
      <w:jc w:val="both"/>
    </w:pPr>
    <w:rPr>
      <w:rFonts w:ascii="Times New Roman" w:hAnsi="Times New Roman" w:cs="Times New Roman" w:eastAsia="Times New Roman"/>
      <w:color w:val="000000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 w:cs="Times New Roman" w:eastAsia="Times New Roman"/>
      <w:b/>
      <w:bCs/>
      <w:i w:val="0"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 w:line="240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 w:cs="Times New Roman" w:eastAsia="Times New Roman"/>
      <w:b/>
      <w:bCs/>
      <w:i w:val="0"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 w:line="240" w:lineRule="auto"/>
      <w:ind w:firstLine="0"/>
      <w:jc w:val="left"/>
      <w:outlineLvl w:val="2"/>
    </w:pPr>
    <w:rPr>
      <w:rFonts w:asciiTheme="majorHAnsi" w:eastAsiaTheme="majorEastAsia" w:hAnsiTheme="majorHAnsi" w:cstheme="majorBidi" w:ascii="Times New Roman" w:hAnsi="Times New Roman" w:cs="Times New Roman" w:eastAsia="Times New Roman"/>
      <w:b/>
      <w:bCs/>
      <w:i w:val="0"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