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ind w:firstLine="0"/>
        <w:jc w:val="center"/>
      </w:pPr>
      <w:r>
        <w:rPr>
          <w:rFonts w:ascii="Times New Roman" w:hAnsi="Times New Roman" w:cs="Times New Roman" w:eastAsia="Times New Roman"/>
          <w:b/>
          <w:sz w:val="36"/>
        </w:rPr>
        <w:t>CONDICIONES DE LICENCIA DE ARSY AI</w:t>
      </w:r>
    </w:p>
    <w:p>
      <w:pPr>
        <w:spacing w:after="480"/>
        <w:ind w:firstLine="0"/>
        <w:jc w:val="center"/>
      </w:pPr>
      <w:r>
        <w:rPr>
          <w:rFonts w:ascii="Times New Roman" w:hAnsi="Times New Roman" w:cs="Times New Roman" w:eastAsia="Times New Roman"/>
          <w:sz w:val="26"/>
        </w:rPr>
        <w:t>Oferta pública para la celebración de un contrato de licencia sobre el software ARSY AI — para socios integradores certificados</w:t>
      </w:r>
    </w:p>
    <w:p>
      <w:pPr>
        <w:ind w:firstLine="0"/>
        <w:jc w:val="center"/>
      </w:pPr>
      <w:r>
        <w:rPr>
          <w:rFonts w:ascii="Times New Roman" w:hAnsi="Times New Roman" w:cs="Times New Roman" w:eastAsia="Times New Roman"/>
          <w:b/>
          <w:i w:val="0"/>
          <w:sz w:val="22"/>
        </w:rPr>
        <w:t>Versión de 23 de julio de 2026. En vigor desde el 1 de agosto de 2026.</w:t>
      </w:r>
      <w:r>
        <w:rPr>
          <w:rFonts w:ascii="Times New Roman" w:hAnsi="Times New Roman" w:cs="Times New Roman" w:eastAsia="Times New Roman"/>
          <w:b w:val="0"/>
          <w:i w:val="0"/>
          <w:sz w:val="22"/>
        </w:rPr>
        <w:t xml:space="preserve"> La versión vigente está publicada en: https://arsy.ai/es/offer/partner</w:t>
      </w:r>
    </w:p>
    <w:p>
      <w:pPr>
        <w:ind w:firstLine="0"/>
        <w:jc w:val="center"/>
      </w:pPr>
      <w:r>
        <w:rPr>
          <w:rFonts w:ascii="Times New Roman" w:hAnsi="Times New Roman" w:cs="Times New Roman" w:eastAsia="Times New Roman"/>
          <w:b/>
          <w:i w:val="0"/>
          <w:sz w:val="22"/>
        </w:rPr>
        <w:t>Aviso: esta versión en español es una traducción no vinculante y se ofrece únicamente para facilitar la lectura. Solo la versión en inglés tiene carácter vinculante (cláusula C.17.6). En caso de discrepancia, prevalece el texto en inglés.</w:t>
      </w:r>
    </w:p>
    <w:p>
      <w:pPr>
        <w:pageBreakBefore/>
        <w:spacing w:after="240"/>
        <w:ind w:firstLine="0"/>
        <w:jc w:val="center"/>
      </w:pPr>
      <w:r>
        <w:rPr>
          <w:rFonts w:ascii="Times New Roman" w:hAnsi="Times New Roman" w:cs="Times New Roman" w:eastAsia="Times New Roman"/>
          <w:b/>
          <w:sz w:val="26"/>
        </w:rPr>
        <w:t>ÍNDICE</w:t>
      </w:r>
    </w:p>
    <w:p>
      <w:pPr>
        <w:ind w:firstLine="0"/>
      </w:pPr>
      <w:r>
        <w:fldChar w:fldCharType="begin"/>
        <w:instrText xml:space="preserve">TOC \o "1-2" \h \z \u</w:instrText>
        <w:fldChar w:fldCharType="separate"/>
        <w:fldChar w:fldCharType="end"/>
      </w:r>
    </w:p>
    <w:p>
      <w:pPr>
        <w:ind w:firstLine="0"/>
        <w:jc w:val="center"/>
      </w:pPr>
      <w:r>
        <w:rPr>
          <w:rFonts w:ascii="Times New Roman" w:hAnsi="Times New Roman" w:cs="Times New Roman" w:eastAsia="Times New Roman"/>
          <w:i/>
          <w:color w:val="808080"/>
          <w:sz w:val="16"/>
        </w:rPr>
        <w:t>(si el índice está vacío, selecciónelo y pulse F9)</w:t>
      </w:r>
    </w:p>
    <w:p>
      <w:pPr>
        <w:pStyle w:val="Heading2"/>
        <w:keepNext/>
        <w:pageBreakBefore/>
      </w:pPr>
      <w:r>
        <w:rPr>
          <w:rFonts w:ascii="Times New Roman" w:hAnsi="Times New Roman" w:cs="Times New Roman" w:eastAsia="Times New Roman"/>
          <w:b/>
          <w:i w:val="0"/>
          <w:sz w:val="23"/>
        </w:rPr>
        <w:t>PREÁMBULO</w:t>
      </w:r>
    </w:p>
    <w:p>
      <w:r>
        <w:rPr>
          <w:rFonts w:ascii="Times New Roman" w:hAnsi="Times New Roman" w:cs="Times New Roman" w:eastAsia="Times New Roman"/>
          <w:b/>
          <w:i w:val="0"/>
          <w:sz w:val="22"/>
        </w:rPr>
        <w:t>web-ar.studio Corp</w:t>
      </w:r>
      <w:r>
        <w:rPr>
          <w:rFonts w:ascii="Times New Roman" w:hAnsi="Times New Roman" w:cs="Times New Roman" w:eastAsia="Times New Roman"/>
          <w:b w:val="0"/>
          <w:i w:val="0"/>
          <w:sz w:val="22"/>
        </w:rPr>
        <w:t xml:space="preserve">, sociedad anónima constituida conforme a la General Corporation Law del Estado de Delaware el 13 de febrero de 2023 con número de registro (file number) 7294738, con domicilio social en 1007 N Orange St, 4th Floor, Suite 1382, Wilmington, New Castle County, Delaware 19801 (agente registrado: Firstbase Agent LLC) y con establecimiento principal en 447 Broadway, 2nd Floor, 1156, New York, NY 10013, Estados Unidos — denominada en estas Condiciones </w:t>
      </w:r>
      <w:r>
        <w:rPr>
          <w:rFonts w:ascii="Times New Roman" w:hAnsi="Times New Roman" w:cs="Times New Roman" w:eastAsia="Times New Roman"/>
          <w:b/>
          <w:i w:val="0"/>
          <w:sz w:val="22"/>
        </w:rPr>
        <w:t>«Web-AR.Studio Corp»</w:t>
      </w:r>
      <w:r>
        <w:rPr>
          <w:rFonts w:ascii="Times New Roman" w:hAnsi="Times New Roman" w:cs="Times New Roman" w:eastAsia="Times New Roman"/>
          <w:b w:val="0"/>
          <w:i w:val="0"/>
          <w:sz w:val="22"/>
        </w:rPr>
        <w:t xml:space="preserve">, el </w:t>
      </w:r>
      <w:r>
        <w:rPr>
          <w:rFonts w:ascii="Times New Roman" w:hAnsi="Times New Roman" w:cs="Times New Roman" w:eastAsia="Times New Roman"/>
          <w:b/>
          <w:i w:val="0"/>
          <w:sz w:val="22"/>
        </w:rPr>
        <w:t>«Licenciante»</w:t>
      </w:r>
      <w:r>
        <w:rPr>
          <w:rFonts w:ascii="Times New Roman" w:hAnsi="Times New Roman" w:cs="Times New Roman" w:eastAsia="Times New Roman"/>
          <w:b w:val="0"/>
          <w:i w:val="0"/>
          <w:sz w:val="22"/>
        </w:rPr>
        <w:t xml:space="preserve"> o </w:t>
      </w:r>
      <w:r>
        <w:rPr>
          <w:rFonts w:ascii="Times New Roman" w:hAnsi="Times New Roman" w:cs="Times New Roman" w:eastAsia="Times New Roman"/>
          <w:b/>
          <w:i w:val="0"/>
          <w:sz w:val="22"/>
        </w:rPr>
        <w:t>«nosotros»</w:t>
      </w:r>
      <w:r>
        <w:rPr>
          <w:rFonts w:ascii="Times New Roman" w:hAnsi="Times New Roman" w:cs="Times New Roman" w:eastAsia="Times New Roman"/>
          <w:b w:val="0"/>
          <w:i w:val="0"/>
          <w:sz w:val="22"/>
        </w:rPr>
        <w:t xml:space="preserve"> — es titular de los derechos de propiedad intelectual sobre la plataforma ARSY AI en el territorio cubierto por estas Condiciones y publica por la presente esta oferta.</w:t>
      </w:r>
    </w:p>
    <w:p>
      <w:r>
        <w:rPr>
          <w:rFonts w:ascii="Times New Roman" w:hAnsi="Times New Roman" w:cs="Times New Roman" w:eastAsia="Times New Roman"/>
          <w:b w:val="0"/>
          <w:i w:val="0"/>
          <w:sz w:val="22"/>
        </w:rPr>
        <w:t>Estas Condiciones constituyen una oferta vinculante susceptible de aceptación. Cualquier persona jurídica que cumpla los requisitos de la cláusula 3.1 (</w:t>
      </w:r>
      <w:r>
        <w:rPr>
          <w:rFonts w:ascii="Times New Roman" w:hAnsi="Times New Roman" w:cs="Times New Roman" w:eastAsia="Times New Roman"/>
          <w:b/>
          <w:i w:val="0"/>
          <w:sz w:val="22"/>
        </w:rPr>
        <w:t>«Contraparte»</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«usted»</w:t>
      </w:r>
      <w:r>
        <w:rPr>
          <w:rFonts w:ascii="Times New Roman" w:hAnsi="Times New Roman" w:cs="Times New Roman" w:eastAsia="Times New Roman"/>
          <w:b w:val="0"/>
          <w:i w:val="0"/>
          <w:sz w:val="22"/>
        </w:rPr>
        <w:t>) puede celebrar un contrato de licencia con el Licenciante realizando cualquiera de los actos de aceptación previstos en la cláusula 3.2. No se requiere firma, si bien puede solicitarse.</w:t>
      </w:r>
    </w:p>
    <w:p>
      <w:r>
        <w:rPr>
          <w:rFonts w:ascii="Times New Roman" w:hAnsi="Times New Roman" w:cs="Times New Roman" w:eastAsia="Times New Roman"/>
          <w:b/>
          <w:i w:val="0"/>
          <w:sz w:val="22"/>
        </w:rPr>
        <w:t>Lea estas Condiciones con atención. Cualquier acto de aceptación le vincula a todas ellas.</w:t>
      </w:r>
    </w:p>
    <w:p>
      <w:pPr>
        <w:pStyle w:val="Heading1"/>
        <w:keepNext/>
        <w:pageBreakBefore/>
        <w:jc w:val="center"/>
      </w:pPr>
      <w:r>
        <w:rPr>
          <w:rFonts w:ascii="Times New Roman" w:hAnsi="Times New Roman" w:cs="Times New Roman" w:eastAsia="Times New Roman"/>
          <w:b/>
          <w:i w:val="0"/>
          <w:sz w:val="26"/>
        </w:rPr>
        <w:t>PARTE GENERAL</w:t>
      </w:r>
    </w:p>
    <w:p>
      <w:pPr>
        <w:pStyle w:val="Heading2"/>
        <w:keepNext/>
      </w:pPr>
      <w:r>
        <w:rPr>
          <w:rFonts w:ascii="Times New Roman" w:hAnsi="Times New Roman" w:cs="Times New Roman" w:eastAsia="Times New Roman"/>
          <w:b/>
          <w:i w:val="0"/>
          <w:sz w:val="23"/>
        </w:rPr>
        <w:t>1. ESTRUCTURA Y ORDEN DE PRELACIÓN</w:t>
      </w:r>
    </w:p>
    <w:p>
      <w:r>
        <w:rPr>
          <w:rFonts w:ascii="Times New Roman" w:hAnsi="Times New Roman" w:cs="Times New Roman" w:eastAsia="Times New Roman"/>
          <w:b w:val="0"/>
          <w:i w:val="0"/>
          <w:sz w:val="22"/>
        </w:rPr>
        <w:t>1.1. Estas Condiciones se componen de:</w:t>
      </w:r>
    </w:p>
    <w:p>
      <w:pPr>
        <w:spacing w:after="40"/>
        <w:ind w:left="709" w:hanging="283"/>
      </w:pPr>
      <w:r>
        <w:rPr>
          <w:rFonts w:ascii="Times New Roman" w:hAnsi="Times New Roman" w:cs="Times New Roman" w:eastAsia="Times New Roman"/>
          <w:b w:val="0"/>
          <w:i w:val="0"/>
          <w:sz w:val="22"/>
        </w:rPr>
        <w:t xml:space="preserve">— la </w:t>
      </w:r>
      <w:r>
        <w:rPr>
          <w:rFonts w:ascii="Times New Roman" w:hAnsi="Times New Roman" w:cs="Times New Roman" w:eastAsia="Times New Roman"/>
          <w:b/>
          <w:i w:val="0"/>
          <w:sz w:val="22"/>
        </w:rPr>
        <w:t>Parte General</w:t>
      </w:r>
      <w:r>
        <w:rPr>
          <w:rFonts w:ascii="Times New Roman" w:hAnsi="Times New Roman" w:cs="Times New Roman" w:eastAsia="Times New Roman"/>
          <w:b w:val="0"/>
          <w:i w:val="0"/>
          <w:sz w:val="22"/>
        </w:rPr>
        <w:t xml:space="preserve"> (cláusulas 1 a 4);</w:t>
      </w:r>
    </w:p>
    <w:p>
      <w:pPr>
        <w:spacing w:after="40"/>
        <w:ind w:left="709" w:hanging="283"/>
      </w:pPr>
      <w:r>
        <w:rPr>
          <w:rFonts w:ascii="Times New Roman" w:hAnsi="Times New Roman" w:cs="Times New Roman" w:eastAsia="Times New Roman"/>
          <w:b w:val="0"/>
          <w:i w:val="0"/>
          <w:sz w:val="22"/>
        </w:rPr>
        <w:t xml:space="preserve">— la </w:t>
      </w:r>
      <w:r>
        <w:rPr>
          <w:rFonts w:ascii="Times New Roman" w:hAnsi="Times New Roman" w:cs="Times New Roman" w:eastAsia="Times New Roman"/>
          <w:b/>
          <w:i w:val="0"/>
          <w:sz w:val="22"/>
        </w:rPr>
        <w:t>Parte B</w:t>
      </w:r>
      <w:r>
        <w:rPr>
          <w:rFonts w:ascii="Times New Roman" w:hAnsi="Times New Roman" w:cs="Times New Roman" w:eastAsia="Times New Roman"/>
          <w:b w:val="0"/>
          <w:i w:val="0"/>
          <w:sz w:val="22"/>
        </w:rPr>
        <w:t xml:space="preserve"> — condiciones aplicables al </w:t>
      </w:r>
      <w:r>
        <w:rPr>
          <w:rFonts w:ascii="Times New Roman" w:hAnsi="Times New Roman" w:cs="Times New Roman" w:eastAsia="Times New Roman"/>
          <w:b/>
          <w:i w:val="0"/>
          <w:sz w:val="22"/>
        </w:rPr>
        <w:t>Socio</w:t>
      </w:r>
      <w:r>
        <w:rPr>
          <w:rFonts w:ascii="Times New Roman" w:hAnsi="Times New Roman" w:cs="Times New Roman" w:eastAsia="Times New Roman"/>
          <w:b w:val="0"/>
          <w:i w:val="0"/>
          <w:sz w:val="22"/>
        </w:rPr>
        <w:t xml:space="preserve"> (socio integrador certificado);</w:t>
      </w:r>
    </w:p>
    <w:p>
      <w:pPr>
        <w:spacing w:after="40"/>
        <w:ind w:left="709" w:hanging="283"/>
      </w:pPr>
      <w:r>
        <w:rPr>
          <w:rFonts w:ascii="Times New Roman" w:hAnsi="Times New Roman" w:cs="Times New Roman" w:eastAsia="Times New Roman"/>
          <w:b w:val="0"/>
          <w:i w:val="0"/>
          <w:sz w:val="22"/>
        </w:rPr>
        <w:t xml:space="preserve">— la </w:t>
      </w:r>
      <w:r>
        <w:rPr>
          <w:rFonts w:ascii="Times New Roman" w:hAnsi="Times New Roman" w:cs="Times New Roman" w:eastAsia="Times New Roman"/>
          <w:b/>
          <w:i w:val="0"/>
          <w:sz w:val="22"/>
        </w:rPr>
        <w:t>Parte C</w:t>
      </w:r>
      <w:r>
        <w:rPr>
          <w:rFonts w:ascii="Times New Roman" w:hAnsi="Times New Roman" w:cs="Times New Roman" w:eastAsia="Times New Roman"/>
          <w:b w:val="0"/>
          <w:i w:val="0"/>
          <w:sz w:val="22"/>
        </w:rPr>
        <w:t xml:space="preserve"> — condiciones generales;</w:t>
      </w:r>
    </w:p>
    <w:p>
      <w:pPr>
        <w:spacing w:after="40"/>
        <w:ind w:left="709" w:hanging="283"/>
      </w:pPr>
      <w:r>
        <w:rPr>
          <w:rFonts w:ascii="Times New Roman" w:hAnsi="Times New Roman" w:cs="Times New Roman" w:eastAsia="Times New Roman"/>
          <w:b w:val="0"/>
          <w:i w:val="0"/>
          <w:sz w:val="22"/>
        </w:rPr>
        <w:t xml:space="preserve">— los </w:t>
      </w:r>
      <w:r>
        <w:rPr>
          <w:rFonts w:ascii="Times New Roman" w:hAnsi="Times New Roman" w:cs="Times New Roman" w:eastAsia="Times New Roman"/>
          <w:b/>
          <w:i w:val="0"/>
          <w:sz w:val="22"/>
        </w:rPr>
        <w:t>Anexos 1 a 6</w:t>
      </w:r>
      <w:r>
        <w:rPr>
          <w:rFonts w:ascii="Times New Roman" w:hAnsi="Times New Roman" w:cs="Times New Roman" w:eastAsia="Times New Roman"/>
          <w:b w:val="0"/>
          <w:i w:val="0"/>
          <w:sz w:val="22"/>
        </w:rPr>
        <w:t>, que forman parte integrante de estas Condiciones.</w:t>
      </w:r>
    </w:p>
    <w:p>
      <w:r>
        <w:rPr>
          <w:rFonts w:ascii="Times New Roman" w:hAnsi="Times New Roman" w:cs="Times New Roman" w:eastAsia="Times New Roman"/>
          <w:b w:val="0"/>
          <w:i w:val="0"/>
          <w:sz w:val="22"/>
        </w:rPr>
        <w:t xml:space="preserve">1.2. Estas Condiciones regulan la relación entre el Licenciante y el Socio. Las condiciones en las que se otorgan derechos sobre el Software a los Clientes finales figuran en la oferta pública para clientes, publicada en https://arsy.ai/es/offer/customer (las </w:t>
      </w:r>
      <w:r>
        <w:rPr>
          <w:rFonts w:ascii="Times New Roman" w:hAnsi="Times New Roman" w:cs="Times New Roman" w:eastAsia="Times New Roman"/>
          <w:b/>
          <w:i w:val="0"/>
          <w:sz w:val="22"/>
        </w:rPr>
        <w:t>«Condiciones para Clientes»</w:t>
      </w:r>
      <w:r>
        <w:rPr>
          <w:rFonts w:ascii="Times New Roman" w:hAnsi="Times New Roman" w:cs="Times New Roman" w:eastAsia="Times New Roman"/>
          <w:b w:val="0"/>
          <w:i w:val="0"/>
          <w:sz w:val="22"/>
        </w:rPr>
        <w:t>).</w:t>
      </w:r>
    </w:p>
    <w:p>
      <w:r>
        <w:rPr>
          <w:rFonts w:ascii="Times New Roman" w:hAnsi="Times New Roman" w:cs="Times New Roman" w:eastAsia="Times New Roman"/>
          <w:b w:val="0"/>
          <w:i w:val="0"/>
          <w:sz w:val="22"/>
        </w:rPr>
        <w:t>1.2.1. La numeración de cláusulas y anexos es uniforme en todas las versiones de la oferta de ARSY AI: una remisión a una cláusula (por ejemplo, C.10.2) designa la misma cláusula en cada una de ellas. La ausencia en esta versión de una Parte ajena a su objeto no constituye una omisión.</w:t>
      </w:r>
    </w:p>
    <w:p>
      <w:r>
        <w:rPr>
          <w:rFonts w:ascii="Times New Roman" w:hAnsi="Times New Roman" w:cs="Times New Roman" w:eastAsia="Times New Roman"/>
          <w:b w:val="0"/>
          <w:i w:val="0"/>
          <w:sz w:val="22"/>
        </w:rPr>
        <w:t xml:space="preserve">1.3. </w:t>
      </w:r>
      <w:r>
        <w:rPr>
          <w:rFonts w:ascii="Times New Roman" w:hAnsi="Times New Roman" w:cs="Times New Roman" w:eastAsia="Times New Roman"/>
          <w:b/>
          <w:i w:val="0"/>
          <w:sz w:val="22"/>
        </w:rPr>
        <w:t>Orden de prelación.</w:t>
      </w:r>
      <w:r>
        <w:rPr>
          <w:rFonts w:ascii="Times New Roman" w:hAnsi="Times New Roman" w:cs="Times New Roman" w:eastAsia="Times New Roman"/>
          <w:b w:val="0"/>
          <w:i w:val="0"/>
          <w:sz w:val="22"/>
        </w:rPr>
        <w:t xml:space="preserve"> En caso de contradicción se aplica el siguiente orden (de mayor a menor rango):</w:t>
      </w:r>
    </w:p>
    <w:p>
      <w:pPr>
        <w:spacing w:after="40"/>
        <w:ind w:left="709" w:hanging="425"/>
      </w:pPr>
      <w:r>
        <w:rPr>
          <w:rFonts w:ascii="Times New Roman" w:hAnsi="Times New Roman" w:cs="Times New Roman" w:eastAsia="Times New Roman"/>
          <w:b w:val="0"/>
          <w:i w:val="0"/>
          <w:sz w:val="22"/>
        </w:rPr>
        <w:t>1) un acuerdo escrito independiente firmado por ambas partes, en la medida en que se aparte expresamente de estas Condiciones;</w:t>
      </w:r>
    </w:p>
    <w:p>
      <w:pPr>
        <w:spacing w:after="40"/>
        <w:ind w:left="709" w:hanging="425"/>
      </w:pPr>
      <w:r>
        <w:rPr>
          <w:rFonts w:ascii="Times New Roman" w:hAnsi="Times New Roman" w:cs="Times New Roman" w:eastAsia="Times New Roman"/>
          <w:b w:val="0"/>
          <w:i w:val="0"/>
          <w:sz w:val="22"/>
        </w:rPr>
        <w:t>2) un Formulario de Pedido firmado o acordado de otro modo por ambas partes;</w:t>
      </w:r>
    </w:p>
    <w:p>
      <w:pPr>
        <w:spacing w:after="40"/>
        <w:ind w:left="709" w:hanging="425"/>
      </w:pPr>
      <w:r>
        <w:rPr>
          <w:rFonts w:ascii="Times New Roman" w:hAnsi="Times New Roman" w:cs="Times New Roman" w:eastAsia="Times New Roman"/>
          <w:b w:val="0"/>
          <w:i w:val="0"/>
          <w:sz w:val="22"/>
        </w:rPr>
        <w:t>3) los Anexos;</w:t>
      </w:r>
    </w:p>
    <w:p>
      <w:pPr>
        <w:spacing w:after="40"/>
        <w:ind w:left="709" w:hanging="425"/>
      </w:pPr>
      <w:r>
        <w:rPr>
          <w:rFonts w:ascii="Times New Roman" w:hAnsi="Times New Roman" w:cs="Times New Roman" w:eastAsia="Times New Roman"/>
          <w:b w:val="0"/>
          <w:i w:val="0"/>
          <w:sz w:val="22"/>
        </w:rPr>
        <w:t>4) la Parte B;</w:t>
      </w:r>
    </w:p>
    <w:p>
      <w:pPr>
        <w:spacing w:after="40"/>
        <w:ind w:left="709" w:hanging="425"/>
      </w:pPr>
      <w:r>
        <w:rPr>
          <w:rFonts w:ascii="Times New Roman" w:hAnsi="Times New Roman" w:cs="Times New Roman" w:eastAsia="Times New Roman"/>
          <w:b w:val="0"/>
          <w:i w:val="0"/>
          <w:sz w:val="22"/>
        </w:rPr>
        <w:t>5) la Parte C y la Parte General.</w:t>
      </w:r>
    </w:p>
    <w:p>
      <w:r>
        <w:rPr>
          <w:rFonts w:ascii="Times New Roman" w:hAnsi="Times New Roman" w:cs="Times New Roman" w:eastAsia="Times New Roman"/>
          <w:b w:val="0"/>
          <w:i w:val="0"/>
          <w:sz w:val="22"/>
        </w:rPr>
        <w:t>1.4. Estas Condiciones no sustituyen las condiciones del sitio web publicadas en https://arsy.ai/terms ni la política de privacidad publicada en https://arsy.ai/privacy. En cuanto al otorgamiento de derechos sobre el Software y a los pagos entre las partes, prevalecen estas Condiciones.</w:t>
      </w:r>
    </w:p>
    <w:p>
      <w:r>
        <w:rPr>
          <w:rFonts w:ascii="Times New Roman" w:hAnsi="Times New Roman" w:cs="Times New Roman" w:eastAsia="Times New Roman"/>
          <w:b w:val="0"/>
          <w:i w:val="0"/>
          <w:sz w:val="22"/>
        </w:rPr>
        <w:t>1.5. El envío de una solicitud de demostración, la asistencia a una demostración o el acceso a un entorno de demostración no constituyen por sí mismos un contrato ni otorgan licencia alguna sobre el Software.</w:t>
      </w:r>
    </w:p>
    <w:p>
      <w:r>
        <w:rPr>
          <w:rFonts w:ascii="Times New Roman" w:hAnsi="Times New Roman" w:cs="Times New Roman" w:eastAsia="Times New Roman"/>
          <w:b w:val="0"/>
          <w:i w:val="0"/>
          <w:sz w:val="22"/>
        </w:rPr>
        <w:t xml:space="preserve">1.6. </w:t>
      </w:r>
      <w:r>
        <w:rPr>
          <w:rFonts w:ascii="Times New Roman" w:hAnsi="Times New Roman" w:cs="Times New Roman" w:eastAsia="Times New Roman"/>
          <w:b/>
          <w:i w:val="0"/>
          <w:sz w:val="22"/>
        </w:rPr>
        <w:t>Actuación por cuenta propia.</w:t>
      </w:r>
      <w:r>
        <w:rPr>
          <w:rFonts w:ascii="Times New Roman" w:hAnsi="Times New Roman" w:cs="Times New Roman" w:eastAsia="Times New Roman"/>
          <w:b w:val="0"/>
          <w:i w:val="0"/>
          <w:sz w:val="22"/>
        </w:rPr>
        <w:t xml:space="preserve"> El Licenciante contrata exclusivamente en su propio nombre y por cuenta propia. No es parte de ningún acuerdo celebrado por cualquier otra persona ni asume obligación o responsabilidad alguna derivada de tales acuerdos, y ninguna otra persona está autorizada a formular declaraciones, contraer obligaciones u otorgar derechos en nombre del Licenciante.</w:t>
      </w:r>
    </w:p>
    <w:p>
      <w:pPr>
        <w:pStyle w:val="Heading2"/>
        <w:keepNext/>
      </w:pPr>
      <w:r>
        <w:rPr>
          <w:rFonts w:ascii="Times New Roman" w:hAnsi="Times New Roman" w:cs="Times New Roman" w:eastAsia="Times New Roman"/>
          <w:b/>
          <w:i w:val="0"/>
          <w:sz w:val="23"/>
        </w:rPr>
        <w:t>2. DEFINICIONES</w:t>
      </w:r>
    </w:p>
    <w:p>
      <w:r>
        <w:rPr>
          <w:rFonts w:ascii="Times New Roman" w:hAnsi="Times New Roman" w:cs="Times New Roman" w:eastAsia="Times New Roman"/>
          <w:b/>
          <w:i w:val="0"/>
          <w:sz w:val="22"/>
        </w:rPr>
        <w:t>2.1. «Software»</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«ARSY AI»</w:t>
      </w:r>
      <w:r>
        <w:rPr>
          <w:rFonts w:ascii="Times New Roman" w:hAnsi="Times New Roman" w:cs="Times New Roman" w:eastAsia="Times New Roman"/>
          <w:b w:val="0"/>
          <w:i w:val="0"/>
          <w:sz w:val="22"/>
        </w:rPr>
        <w:t xml:space="preserve"> — la plataforma de inteligencia artificial espacial ARSY AI para entornos industriales, integrada, en la medida incluida en el Plan contratado, por:</w:t>
      </w:r>
    </w:p>
    <w:p>
      <w:pPr>
        <w:spacing w:after="40"/>
        <w:ind w:left="709" w:hanging="283"/>
      </w:pPr>
      <w:r>
        <w:rPr>
          <w:rFonts w:ascii="Times New Roman" w:hAnsi="Times New Roman" w:cs="Times New Roman" w:eastAsia="Times New Roman"/>
          <w:b w:val="0"/>
          <w:i w:val="0"/>
          <w:sz w:val="22"/>
        </w:rPr>
        <w:t>— los componentes de servidor de la plataforma y la consola de administración;</w:t>
      </w:r>
    </w:p>
    <w:p>
      <w:pPr>
        <w:spacing w:after="40"/>
        <w:ind w:left="709" w:hanging="283"/>
      </w:pPr>
      <w:r>
        <w:rPr>
          <w:rFonts w:ascii="Times New Roman" w:hAnsi="Times New Roman" w:cs="Times New Roman" w:eastAsia="Times New Roman"/>
          <w:b w:val="0"/>
          <w:i w:val="0"/>
          <w:sz w:val="22"/>
        </w:rPr>
        <w:t xml:space="preserve">— el sistema de posicionamiento visual </w:t>
      </w:r>
      <w:r>
        <w:rPr>
          <w:rFonts w:ascii="Times New Roman" w:hAnsi="Times New Roman" w:cs="Times New Roman" w:eastAsia="Times New Roman"/>
          <w:b/>
          <w:i w:val="0"/>
          <w:sz w:val="22"/>
        </w:rPr>
        <w:t>AR Clip VPS</w:t>
      </w:r>
      <w:r>
        <w:rPr>
          <w:rFonts w:ascii="Times New Roman" w:hAnsi="Times New Roman" w:cs="Times New Roman" w:eastAsia="Times New Roman"/>
          <w:b w:val="0"/>
          <w:i w:val="0"/>
          <w:sz w:val="22"/>
        </w:rPr>
        <w:t xml:space="preserve"> (posicionamiento espacial sin marcadores, creación y almacenamiento de mapas espaciales);</w:t>
      </w:r>
    </w:p>
    <w:p>
      <w:pPr>
        <w:spacing w:after="40"/>
        <w:ind w:left="709" w:hanging="283"/>
      </w:pPr>
      <w:r>
        <w:rPr>
          <w:rFonts w:ascii="Times New Roman" w:hAnsi="Times New Roman" w:cs="Times New Roman" w:eastAsia="Times New Roman"/>
          <w:b w:val="0"/>
          <w:i w:val="0"/>
          <w:sz w:val="22"/>
        </w:rPr>
        <w:t>— el agente de IA (modos de texto y voz, modo de interacción libre, modo agéntico), incluidos los modelos entrenados de aprendizaje automático y visión por computador;</w:t>
      </w:r>
    </w:p>
    <w:p>
      <w:pPr>
        <w:spacing w:after="40"/>
        <w:ind w:left="709" w:hanging="283"/>
      </w:pPr>
      <w:r>
        <w:rPr>
          <w:rFonts w:ascii="Times New Roman" w:hAnsi="Times New Roman" w:cs="Times New Roman" w:eastAsia="Times New Roman"/>
          <w:b w:val="0"/>
          <w:i w:val="0"/>
          <w:sz w:val="22"/>
        </w:rPr>
        <w:t>— los módulos funcionales: formación y certificación, analítica, control de acceso (RBAC), motor de escenarios por componentes y el módulo «Experto Remoto» (videoconferencia con RA);</w:t>
      </w:r>
    </w:p>
    <w:p>
      <w:pPr>
        <w:spacing w:after="40"/>
        <w:ind w:left="709" w:hanging="283"/>
      </w:pPr>
      <w:r>
        <w:rPr>
          <w:rFonts w:ascii="Times New Roman" w:hAnsi="Times New Roman" w:cs="Times New Roman" w:eastAsia="Times New Roman"/>
          <w:b w:val="0"/>
          <w:i w:val="0"/>
          <w:sz w:val="22"/>
        </w:rPr>
        <w:t>— las aplicaciones cliente para teléfonos, tabletas y gafas de RA;</w:t>
      </w:r>
    </w:p>
    <w:p>
      <w:pPr>
        <w:spacing w:after="40"/>
        <w:ind w:left="709" w:hanging="283"/>
      </w:pPr>
      <w:r>
        <w:rPr>
          <w:rFonts w:ascii="Times New Roman" w:hAnsi="Times New Roman" w:cs="Times New Roman" w:eastAsia="Times New Roman"/>
          <w:b w:val="0"/>
          <w:i w:val="0"/>
          <w:sz w:val="22"/>
        </w:rPr>
        <w:t>— la documentación asociada;</w:t>
      </w:r>
    </w:p>
    <w:p>
      <w:r>
        <w:rPr>
          <w:rFonts w:ascii="Times New Roman" w:hAnsi="Times New Roman" w:cs="Times New Roman" w:eastAsia="Times New Roman"/>
          <w:b w:val="0"/>
          <w:i w:val="0"/>
          <w:sz w:val="22"/>
        </w:rPr>
        <w:t>junto con todas las actualizaciones, correcciones y nuevas versiones de lo anterior que el Licenciante suministre durante el Plazo de Licencia.</w:t>
      </w:r>
    </w:p>
    <w:p>
      <w:r>
        <w:rPr>
          <w:rFonts w:ascii="Times New Roman" w:hAnsi="Times New Roman" w:cs="Times New Roman" w:eastAsia="Times New Roman"/>
          <w:b/>
          <w:i w:val="0"/>
          <w:sz w:val="22"/>
        </w:rPr>
        <w:t>2.2. «ARSY AI Space»</w:t>
      </w:r>
      <w:r>
        <w:rPr>
          <w:rFonts w:ascii="Times New Roman" w:hAnsi="Times New Roman" w:cs="Times New Roman" w:eastAsia="Times New Roman"/>
          <w:b w:val="0"/>
          <w:i w:val="0"/>
          <w:sz w:val="22"/>
        </w:rPr>
        <w:t xml:space="preserve"> — la interfaz de gestión disponible en https://space.arsy.ai, empleada para la administración, el registro de Dispositivos y Máquinas Cubiertas y el intercambio de comunicaciones formales entre las partes.</w:t>
      </w:r>
    </w:p>
    <w:p>
      <w:r>
        <w:rPr>
          <w:rFonts w:ascii="Times New Roman" w:hAnsi="Times New Roman" w:cs="Times New Roman" w:eastAsia="Times New Roman"/>
          <w:b/>
          <w:i w:val="0"/>
          <w:sz w:val="22"/>
        </w:rPr>
        <w:t>2.3. «Cliente»</w:t>
      </w:r>
      <w:r>
        <w:rPr>
          <w:rFonts w:ascii="Times New Roman" w:hAnsi="Times New Roman" w:cs="Times New Roman" w:eastAsia="Times New Roman"/>
          <w:b w:val="0"/>
          <w:i w:val="0"/>
          <w:sz w:val="22"/>
        </w:rPr>
        <w:t xml:space="preserve"> — persona jurídica a la que el Socio otorga derechos de uso del Software conforme a las Condiciones para Clientes (sublicenciatario).</w:t>
      </w:r>
    </w:p>
    <w:p>
      <w:r>
        <w:rPr>
          <w:rFonts w:ascii="Times New Roman" w:hAnsi="Times New Roman" w:cs="Times New Roman" w:eastAsia="Times New Roman"/>
          <w:b/>
          <w:i w:val="0"/>
          <w:sz w:val="22"/>
        </w:rPr>
        <w:t>2.4. «Socio»</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«Integrador»</w:t>
      </w:r>
      <w:r>
        <w:rPr>
          <w:rFonts w:ascii="Times New Roman" w:hAnsi="Times New Roman" w:cs="Times New Roman" w:eastAsia="Times New Roman"/>
          <w:b w:val="0"/>
          <w:i w:val="0"/>
          <w:sz w:val="22"/>
        </w:rPr>
        <w:t xml:space="preserve"> — persona jurídica que acepta estas Condiciones para implantar el Software en Clientes y/u otorgar a Clientes derechos de uso del Software conforme a la Parte B, y que ha sido certificada por el Licenciante. En estas Condiciones el Socio es la Contraparte.</w:t>
      </w:r>
    </w:p>
    <w:p>
      <w:r>
        <w:rPr>
          <w:rFonts w:ascii="Times New Roman" w:hAnsi="Times New Roman" w:cs="Times New Roman" w:eastAsia="Times New Roman"/>
          <w:b/>
          <w:i w:val="0"/>
          <w:sz w:val="22"/>
        </w:rPr>
        <w:t>2.5. «Formulario de Pedido»</w:t>
      </w:r>
      <w:r>
        <w:rPr>
          <w:rFonts w:ascii="Times New Roman" w:hAnsi="Times New Roman" w:cs="Times New Roman" w:eastAsia="Times New Roman"/>
          <w:b w:val="0"/>
          <w:i w:val="0"/>
          <w:sz w:val="22"/>
        </w:rPr>
        <w:t xml:space="preserve"> — documento conforme al modelo del Anexo 6 que fija el Plan, el Modelo de Despliegue, los Emplazamientos, el número de Máquinas Cubiertas y Dispositivos, el Plazo de Licencia, la contraprestación y las condiciones de pago, así como cualesquiera otros parámetros acordados. El Formulario de Pedido puede acordarse en ARSY AI Space, por correo electrónico o mediante firma.</w:t>
      </w:r>
    </w:p>
    <w:p>
      <w:r>
        <w:rPr>
          <w:rFonts w:ascii="Times New Roman" w:hAnsi="Times New Roman" w:cs="Times New Roman" w:eastAsia="Times New Roman"/>
          <w:b/>
          <w:i w:val="0"/>
          <w:sz w:val="22"/>
        </w:rPr>
        <w:t>2.6. «Plan»</w:t>
      </w:r>
      <w:r>
        <w:rPr>
          <w:rFonts w:ascii="Times New Roman" w:hAnsi="Times New Roman" w:cs="Times New Roman" w:eastAsia="Times New Roman"/>
          <w:b w:val="0"/>
          <w:i w:val="0"/>
          <w:sz w:val="22"/>
        </w:rPr>
        <w:t xml:space="preserve"> — el conjunto de funcionalidades y límites cuantitativos definidos en el Anexo 1: </w:t>
      </w:r>
      <w:r>
        <w:rPr>
          <w:rFonts w:ascii="Times New Roman" w:hAnsi="Times New Roman" w:cs="Times New Roman" w:eastAsia="Times New Roman"/>
          <w:b/>
          <w:i w:val="0"/>
          <w:sz w:val="22"/>
        </w:rPr>
        <w:t>Lite</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Starter</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Professional</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Enterprise</w:t>
      </w:r>
      <w:r>
        <w:rPr>
          <w:rFonts w:ascii="Times New Roman" w:hAnsi="Times New Roman" w:cs="Times New Roman" w:eastAsia="Times New Roman"/>
          <w:b w:val="0"/>
          <w:i w:val="0"/>
          <w:sz w:val="22"/>
        </w:rPr>
        <w:t>.</w:t>
      </w:r>
    </w:p>
    <w:p>
      <w:r>
        <w:rPr>
          <w:rFonts w:ascii="Times New Roman" w:hAnsi="Times New Roman" w:cs="Times New Roman" w:eastAsia="Times New Roman"/>
          <w:b/>
          <w:i w:val="0"/>
          <w:sz w:val="22"/>
        </w:rPr>
        <w:t>2.7. «Modelo de Despliegue»</w:t>
      </w:r>
      <w:r>
        <w:rPr>
          <w:rFonts w:ascii="Times New Roman" w:hAnsi="Times New Roman" w:cs="Times New Roman" w:eastAsia="Times New Roman"/>
          <w:b w:val="0"/>
          <w:i w:val="0"/>
          <w:sz w:val="22"/>
        </w:rPr>
        <w:t>:</w:t>
      </w:r>
    </w:p>
    <w:p>
      <w:pPr>
        <w:spacing w:after="40"/>
        <w:ind w:left="709" w:hanging="283"/>
      </w:pP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«Nube Gestionada»</w:t>
      </w:r>
      <w:r>
        <w:rPr>
          <w:rFonts w:ascii="Times New Roman" w:hAnsi="Times New Roman" w:cs="Times New Roman" w:eastAsia="Times New Roman"/>
          <w:b w:val="0"/>
          <w:i w:val="0"/>
          <w:sz w:val="22"/>
        </w:rPr>
        <w:t xml:space="preserve"> — el Software se ejecuta en la infraestructura del Licenciante y se accede a él de forma remota a través de internet;</w:t>
      </w:r>
    </w:p>
    <w:p>
      <w:pPr>
        <w:spacing w:after="40"/>
        <w:ind w:left="709" w:hanging="283"/>
      </w:pP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«On-Premise»</w:t>
      </w:r>
      <w:r>
        <w:rPr>
          <w:rFonts w:ascii="Times New Roman" w:hAnsi="Times New Roman" w:cs="Times New Roman" w:eastAsia="Times New Roman"/>
          <w:b w:val="0"/>
          <w:i w:val="0"/>
          <w:sz w:val="22"/>
        </w:rPr>
        <w:t xml:space="preserve"> — se instala una Instancia en un servidor situado dentro de la red propia de la Contraparte y bajo su control. Disponible a partir del Plan Professional.</w:t>
      </w:r>
    </w:p>
    <w:p>
      <w:r>
        <w:rPr>
          <w:rFonts w:ascii="Times New Roman" w:hAnsi="Times New Roman" w:cs="Times New Roman" w:eastAsia="Times New Roman"/>
          <w:b/>
          <w:i w:val="0"/>
          <w:sz w:val="22"/>
        </w:rPr>
        <w:t>2.8. «Instancia»</w:t>
      </w:r>
      <w:r>
        <w:rPr>
          <w:rFonts w:ascii="Times New Roman" w:hAnsi="Times New Roman" w:cs="Times New Roman" w:eastAsia="Times New Roman"/>
          <w:b w:val="0"/>
          <w:i w:val="0"/>
          <w:sz w:val="22"/>
        </w:rPr>
        <w:t xml:space="preserve"> — copia desplegada y configurada del Software que opera para una Contraparte bajo un Modelo de Despliegue.</w:t>
      </w:r>
    </w:p>
    <w:p>
      <w:r>
        <w:rPr>
          <w:rFonts w:ascii="Times New Roman" w:hAnsi="Times New Roman" w:cs="Times New Roman" w:eastAsia="Times New Roman"/>
          <w:b/>
          <w:i w:val="0"/>
          <w:sz w:val="22"/>
        </w:rPr>
        <w:t>2.9. «Emplazamiento»</w:t>
      </w:r>
      <w:r>
        <w:rPr>
          <w:rFonts w:ascii="Times New Roman" w:hAnsi="Times New Roman" w:cs="Times New Roman" w:eastAsia="Times New Roman"/>
          <w:b w:val="0"/>
          <w:i w:val="0"/>
          <w:sz w:val="22"/>
        </w:rPr>
        <w:t xml:space="preserve"> — instalación industrial o de otro tipo diferenciada del Cliente (recinto, planta, edificio, área de producción) que ha sido escaneada espacialmente y dentro de la cual se utiliza el Software. Los Emplazamientos se relacionan en el Formulario de Pedido.</w:t>
      </w:r>
    </w:p>
    <w:p>
      <w:r>
        <w:rPr>
          <w:rFonts w:ascii="Times New Roman" w:hAnsi="Times New Roman" w:cs="Times New Roman" w:eastAsia="Times New Roman"/>
          <w:b/>
          <w:i w:val="0"/>
          <w:sz w:val="22"/>
        </w:rPr>
        <w:t>2.10. «Máquina Cubierta»</w:t>
      </w:r>
      <w:r>
        <w:rPr>
          <w:rFonts w:ascii="Times New Roman" w:hAnsi="Times New Roman" w:cs="Times New Roman" w:eastAsia="Times New Roman"/>
          <w:b w:val="0"/>
          <w:i w:val="0"/>
          <w:sz w:val="22"/>
        </w:rPr>
        <w:t xml:space="preserve"> — equipo productivo del Cliente (máquina herramienta, unidad, línea, instalación, conjunto) para el que se han creado en el Software anclaje espacial, escenarios y/o procedimientos de guiado y que está registrado en ARSY AI Space. Las Máquinas Cubiertas constituyen unidad de facturación.</w:t>
      </w:r>
    </w:p>
    <w:p>
      <w:r>
        <w:rPr>
          <w:rFonts w:ascii="Times New Roman" w:hAnsi="Times New Roman" w:cs="Times New Roman" w:eastAsia="Times New Roman"/>
          <w:b/>
          <w:i w:val="0"/>
          <w:sz w:val="22"/>
        </w:rPr>
        <w:t>2.11. «Dispositivo»</w:t>
      </w:r>
      <w:r>
        <w:rPr>
          <w:rFonts w:ascii="Times New Roman" w:hAnsi="Times New Roman" w:cs="Times New Roman" w:eastAsia="Times New Roman"/>
          <w:b w:val="0"/>
          <w:i w:val="0"/>
          <w:sz w:val="22"/>
        </w:rPr>
        <w:t xml:space="preserve"> — equipo vestible o móvil (gafas de RA, teléfono, tableta) registrado en una Instancia y utilizado para acceder al Software.</w:t>
      </w:r>
    </w:p>
    <w:p>
      <w:r>
        <w:rPr>
          <w:rFonts w:ascii="Times New Roman" w:hAnsi="Times New Roman" w:cs="Times New Roman" w:eastAsia="Times New Roman"/>
          <w:b/>
          <w:i w:val="0"/>
          <w:sz w:val="22"/>
        </w:rPr>
        <w:t>2.12. «Usuario»</w:t>
      </w:r>
      <w:r>
        <w:rPr>
          <w:rFonts w:ascii="Times New Roman" w:hAnsi="Times New Roman" w:cs="Times New Roman" w:eastAsia="Times New Roman"/>
          <w:b w:val="0"/>
          <w:i w:val="0"/>
          <w:sz w:val="22"/>
        </w:rPr>
        <w:t xml:space="preserve"> — persona física a la que la Contraparte concede acceso al Software (empleado, persona en formación, contratista). </w:t>
      </w:r>
      <w:r>
        <w:rPr>
          <w:rFonts w:ascii="Times New Roman" w:hAnsi="Times New Roman" w:cs="Times New Roman" w:eastAsia="Times New Roman"/>
          <w:b/>
          <w:i w:val="0"/>
          <w:sz w:val="22"/>
        </w:rPr>
        <w:t>Los Usuarios no se contabilizan ni se facturan en ningún Plan.</w:t>
      </w:r>
    </w:p>
    <w:p>
      <w:r>
        <w:rPr>
          <w:rFonts w:ascii="Times New Roman" w:hAnsi="Times New Roman" w:cs="Times New Roman" w:eastAsia="Times New Roman"/>
          <w:b/>
          <w:i w:val="0"/>
          <w:sz w:val="22"/>
        </w:rPr>
        <w:t>2.13. «Contenido del Cliente»</w:t>
      </w:r>
      <w:r>
        <w:rPr>
          <w:rFonts w:ascii="Times New Roman" w:hAnsi="Times New Roman" w:cs="Times New Roman" w:eastAsia="Times New Roman"/>
          <w:b w:val="0"/>
          <w:i w:val="0"/>
          <w:sz w:val="22"/>
        </w:rPr>
        <w:t xml:space="preserve"> — todos los datos y materiales que la Contraparte incorpora al Software o genera con él, incluidos los escaneos de Emplazamientos y los mapas espaciales derivados, los procedimientos, cursos de formación y escenarios, la documentación técnica y normativa cargada, las evidencias fotográficas y de vídeo capturadas, las grabaciones de sesiones de Experto Remoto, los datos de actividad de los Usuarios y los registros operativos.</w:t>
      </w:r>
    </w:p>
    <w:p>
      <w:r>
        <w:rPr>
          <w:rFonts w:ascii="Times New Roman" w:hAnsi="Times New Roman" w:cs="Times New Roman" w:eastAsia="Times New Roman"/>
          <w:b/>
          <w:i w:val="0"/>
          <w:sz w:val="22"/>
        </w:rPr>
        <w:t>2.14. «Métricas Agregadas»</w:t>
      </w:r>
      <w:r>
        <w:rPr>
          <w:rFonts w:ascii="Times New Roman" w:hAnsi="Times New Roman" w:cs="Times New Roman" w:eastAsia="Times New Roman"/>
          <w:b w:val="0"/>
          <w:i w:val="0"/>
          <w:sz w:val="22"/>
        </w:rPr>
        <w:t xml:space="preserve"> — información sobre el funcionamiento del Software en forma agregada y anonimizada que no permite identificar a la Contraparte, su Emplazamiento, su equipamiento, sus Usuarios ni a ninguna otra persona física (incluidos indicadores de rendimiento, frecuencia de uso de funciones, volúmenes y tasas de error).</w:t>
      </w:r>
    </w:p>
    <w:p>
      <w:r>
        <w:rPr>
          <w:rFonts w:ascii="Times New Roman" w:hAnsi="Times New Roman" w:cs="Times New Roman" w:eastAsia="Times New Roman"/>
          <w:b/>
          <w:i w:val="0"/>
          <w:sz w:val="22"/>
        </w:rPr>
        <w:t>2.15. «Plazo de Licencia»</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«Período de Facturación»</w:t>
      </w:r>
      <w:r>
        <w:rPr>
          <w:rFonts w:ascii="Times New Roman" w:hAnsi="Times New Roman" w:cs="Times New Roman" w:eastAsia="Times New Roman"/>
          <w:b w:val="0"/>
          <w:i w:val="0"/>
          <w:sz w:val="22"/>
        </w:rPr>
        <w:t xml:space="preserve">, </w:t>
      </w:r>
      <w:r>
        <w:rPr>
          <w:rFonts w:ascii="Times New Roman" w:hAnsi="Times New Roman" w:cs="Times New Roman" w:eastAsia="Times New Roman"/>
          <w:b/>
          <w:i w:val="0"/>
          <w:sz w:val="22"/>
        </w:rPr>
        <w:t>«Suscripción»</w:t>
      </w:r>
      <w:r>
        <w:rPr>
          <w:rFonts w:ascii="Times New Roman" w:hAnsi="Times New Roman" w:cs="Times New Roman" w:eastAsia="Times New Roman"/>
          <w:b w:val="0"/>
          <w:i w:val="0"/>
          <w:sz w:val="22"/>
        </w:rPr>
        <w:t xml:space="preserve"> — el período por el que se otorgan derechos de uso del Software, según el Formulario de Pedido.</w:t>
      </w:r>
    </w:p>
    <w:p>
      <w:r>
        <w:rPr>
          <w:rFonts w:ascii="Times New Roman" w:hAnsi="Times New Roman" w:cs="Times New Roman" w:eastAsia="Times New Roman"/>
          <w:b/>
          <w:i w:val="0"/>
          <w:sz w:val="22"/>
        </w:rPr>
        <w:t>2.16. «Lista de Precios»</w:t>
      </w:r>
      <w:r>
        <w:rPr>
          <w:rFonts w:ascii="Times New Roman" w:hAnsi="Times New Roman" w:cs="Times New Roman" w:eastAsia="Times New Roman"/>
          <w:b w:val="0"/>
          <w:i w:val="0"/>
          <w:sz w:val="22"/>
        </w:rPr>
        <w:t xml:space="preserve"> — la lista de precios del Licenciante publicada en https://arsy.ai/pricing, junto con las tarifas base del Anexo 2.</w:t>
      </w:r>
    </w:p>
    <w:p>
      <w:r>
        <w:rPr>
          <w:rFonts w:ascii="Times New Roman" w:hAnsi="Times New Roman" w:cs="Times New Roman" w:eastAsia="Times New Roman"/>
          <w:b/>
          <w:i w:val="0"/>
          <w:sz w:val="22"/>
        </w:rPr>
        <w:t>2.17. «Anexo de Soporte»</w:t>
      </w:r>
      <w:r>
        <w:rPr>
          <w:rFonts w:ascii="Times New Roman" w:hAnsi="Times New Roman" w:cs="Times New Roman" w:eastAsia="Times New Roman"/>
          <w:b w:val="0"/>
          <w:i w:val="0"/>
          <w:sz w:val="22"/>
        </w:rPr>
        <w:t xml:space="preserve"> — el Anexo 3, que fija niveles de soporte, canales, tiempos de respuesta y compromisos de disponibilidad.</w:t>
      </w:r>
    </w:p>
    <w:p>
      <w:pPr>
        <w:pStyle w:val="Heading2"/>
        <w:keepNext/>
      </w:pPr>
      <w:r>
        <w:rPr>
          <w:rFonts w:ascii="Times New Roman" w:hAnsi="Times New Roman" w:cs="Times New Roman" w:eastAsia="Times New Roman"/>
          <w:b/>
          <w:i w:val="0"/>
          <w:sz w:val="23"/>
        </w:rPr>
        <w:t>3. PERFECCIÓN DEL CONTRATO (ACEPTACIÓN)</w:t>
      </w:r>
    </w:p>
    <w:p>
      <w:r>
        <w:rPr>
          <w:rFonts w:ascii="Times New Roman" w:hAnsi="Times New Roman" w:cs="Times New Roman" w:eastAsia="Times New Roman"/>
          <w:b w:val="0"/>
          <w:i w:val="0"/>
          <w:sz w:val="22"/>
        </w:rPr>
        <w:t xml:space="preserve">3.1. </w:t>
      </w:r>
      <w:r>
        <w:rPr>
          <w:rFonts w:ascii="Times New Roman" w:hAnsi="Times New Roman" w:cs="Times New Roman" w:eastAsia="Times New Roman"/>
          <w:b/>
          <w:i w:val="0"/>
          <w:sz w:val="22"/>
        </w:rPr>
        <w:t>Quién puede aceptar.</w:t>
      </w:r>
      <w:r>
        <w:rPr>
          <w:rFonts w:ascii="Times New Roman" w:hAnsi="Times New Roman" w:cs="Times New Roman" w:eastAsia="Times New Roman"/>
          <w:b w:val="0"/>
          <w:i w:val="0"/>
          <w:sz w:val="22"/>
        </w:rPr>
        <w:t xml:space="preserve"> Estas Condiciones se dirigen a personas jurídicas y a personas físicas que actúan en el ejercicio de una actividad empresarial o profesional. No se dirigen a consumidores y no se pretende la aplicación de ningún régimen de protección de consumidores.</w:t>
      </w:r>
    </w:p>
    <w:p>
      <w:r>
        <w:rPr>
          <w:rFonts w:ascii="Times New Roman" w:hAnsi="Times New Roman" w:cs="Times New Roman" w:eastAsia="Times New Roman"/>
          <w:b w:val="0"/>
          <w:i w:val="0"/>
          <w:sz w:val="22"/>
        </w:rPr>
        <w:t xml:space="preserve">3.2. </w:t>
      </w:r>
      <w:r>
        <w:rPr>
          <w:rFonts w:ascii="Times New Roman" w:hAnsi="Times New Roman" w:cs="Times New Roman" w:eastAsia="Times New Roman"/>
          <w:b/>
          <w:i w:val="0"/>
          <w:sz w:val="22"/>
        </w:rPr>
        <w:t>Aceptación.</w:t>
      </w:r>
      <w:r>
        <w:rPr>
          <w:rFonts w:ascii="Times New Roman" w:hAnsi="Times New Roman" w:cs="Times New Roman" w:eastAsia="Times New Roman"/>
          <w:b w:val="0"/>
          <w:i w:val="0"/>
          <w:sz w:val="22"/>
        </w:rPr>
        <w:t xml:space="preserve"> Usted acepta estas Condiciones íntegramente y sin modificaciones mediante el primero de los siguientes actos que se produzca:</w:t>
      </w:r>
    </w:p>
    <w:p>
      <w:pPr>
        <w:spacing w:after="40"/>
        <w:ind w:left="709" w:hanging="425"/>
      </w:pPr>
      <w:r>
        <w:rPr>
          <w:rFonts w:ascii="Times New Roman" w:hAnsi="Times New Roman" w:cs="Times New Roman" w:eastAsia="Times New Roman"/>
          <w:b w:val="0"/>
          <w:i w:val="0"/>
          <w:sz w:val="22"/>
        </w:rPr>
        <w:t>1) el pago de una factura emitida por el Licenciante con base en un Formulario de Pedido, en su totalidad o en cuanto al primer plazo;</w:t>
      </w:r>
    </w:p>
    <w:p>
      <w:pPr>
        <w:spacing w:after="40"/>
        <w:ind w:left="709" w:hanging="425"/>
      </w:pPr>
      <w:r>
        <w:rPr>
          <w:rFonts w:ascii="Times New Roman" w:hAnsi="Times New Roman" w:cs="Times New Roman" w:eastAsia="Times New Roman"/>
          <w:b w:val="0"/>
          <w:i w:val="0"/>
          <w:sz w:val="22"/>
        </w:rPr>
        <w:t>2) la firma o confirmación por otro medio de un Formulario de Pedido;</w:t>
      </w:r>
    </w:p>
    <w:p>
      <w:pPr>
        <w:spacing w:after="40"/>
        <w:ind w:left="709" w:hanging="425"/>
      </w:pPr>
      <w:r>
        <w:rPr>
          <w:rFonts w:ascii="Times New Roman" w:hAnsi="Times New Roman" w:cs="Times New Roman" w:eastAsia="Times New Roman"/>
          <w:b w:val="0"/>
          <w:i w:val="0"/>
          <w:sz w:val="22"/>
        </w:rPr>
        <w:t>3) el inicio del uso efectivo del Software, incluido el primer acceso a ARSY AI Space con credenciales emitidas por el Licenciante, la instalación de una Instancia On-Premise o la activación de una clave de licencia;</w:t>
      </w:r>
    </w:p>
    <w:p>
      <w:pPr>
        <w:spacing w:after="40"/>
        <w:ind w:left="709" w:hanging="425"/>
      </w:pPr>
      <w:r>
        <w:rPr>
          <w:rFonts w:ascii="Times New Roman" w:hAnsi="Times New Roman" w:cs="Times New Roman" w:eastAsia="Times New Roman"/>
          <w:b w:val="0"/>
          <w:i w:val="0"/>
          <w:sz w:val="22"/>
        </w:rPr>
        <w:t>4) la marcación de la casilla de conformidad con estas Condiciones al registrarse en ARSY AI Space.</w:t>
      </w:r>
    </w:p>
    <w:p>
      <w:r>
        <w:rPr>
          <w:rFonts w:ascii="Times New Roman" w:hAnsi="Times New Roman" w:cs="Times New Roman" w:eastAsia="Times New Roman"/>
          <w:b w:val="0"/>
          <w:i w:val="0"/>
          <w:sz w:val="22"/>
        </w:rPr>
        <w:t>3.3. El contrato se perfecciona en el momento de la aceptación y se mantiene durante el Plazo de Licencia, con sujeción a la cláusula C.12.</w:t>
      </w:r>
    </w:p>
    <w:p>
      <w:r>
        <w:rPr>
          <w:rFonts w:ascii="Times New Roman" w:hAnsi="Times New Roman" w:cs="Times New Roman" w:eastAsia="Times New Roman"/>
          <w:b w:val="0"/>
          <w:i w:val="0"/>
          <w:sz w:val="22"/>
        </w:rPr>
        <w:t>3.4. Con la aceptación usted confirma que ha leído íntegramente estas Condiciones y los Anexos, que los acepta sin reservas y que la persona que acepta tiene poder suficiente para obligarle.</w:t>
      </w:r>
    </w:p>
    <w:p>
      <w:r>
        <w:rPr>
          <w:rFonts w:ascii="Times New Roman" w:hAnsi="Times New Roman" w:cs="Times New Roman" w:eastAsia="Times New Roman"/>
          <w:b w:val="0"/>
          <w:i w:val="0"/>
          <w:sz w:val="22"/>
        </w:rPr>
        <w:t>3.5. La aceptación sujeta a modificaciones, reservas o condiciones adicionales o distintas (incluidas las contenidas en su pedido de compra, su portal de proveedores o sus condiciones generales de contratación) se rechaza y no perfecciona contrato alguno. Las modificaciones negociadas se recogen en un acuerdo firmado independiente conforme a la cláusula 1.3.</w:t>
      </w:r>
    </w:p>
    <w:p>
      <w:r>
        <w:rPr>
          <w:rFonts w:ascii="Times New Roman" w:hAnsi="Times New Roman" w:cs="Times New Roman" w:eastAsia="Times New Roman"/>
          <w:b w:val="0"/>
          <w:i w:val="0"/>
          <w:sz w:val="22"/>
        </w:rPr>
        <w:t>3.6. A su solicitud escrita, el Licenciante suscribirá un contrato en documento único que reproduzca estas Condiciones. Ello no altera el momento de perfección establecido en la cláusula 3.3.</w:t>
      </w:r>
    </w:p>
    <w:p>
      <w:pPr>
        <w:pStyle w:val="Heading2"/>
        <w:keepNext/>
      </w:pPr>
      <w:r>
        <w:rPr>
          <w:rFonts w:ascii="Times New Roman" w:hAnsi="Times New Roman" w:cs="Times New Roman" w:eastAsia="Times New Roman"/>
          <w:b/>
          <w:i w:val="0"/>
          <w:sz w:val="23"/>
        </w:rPr>
        <w:t>4. NATURALEZA DEL CONTRATO</w:t>
      </w:r>
    </w:p>
    <w:p>
      <w:r>
        <w:rPr>
          <w:rFonts w:ascii="Times New Roman" w:hAnsi="Times New Roman" w:cs="Times New Roman" w:eastAsia="Times New Roman"/>
          <w:b w:val="0"/>
          <w:i w:val="0"/>
          <w:sz w:val="22"/>
        </w:rPr>
        <w:t>4.1. El Licenciante le otorga el derecho a utilizar el Software dentro de los límites fijados en estas Condiciones, y usted se obliga a abonar la contraprestación y a respetar las restricciones.</w:t>
      </w:r>
    </w:p>
    <w:p>
      <w:r>
        <w:rPr>
          <w:rFonts w:ascii="Times New Roman" w:hAnsi="Times New Roman" w:cs="Times New Roman" w:eastAsia="Times New Roman"/>
          <w:b w:val="0"/>
          <w:i w:val="0"/>
          <w:sz w:val="22"/>
        </w:rPr>
        <w:t>4.2. El contrato comprende una licencia de software junto con la prestación de servicios: soporte técnico y, en el Modelo de Despliegue de Nube Gestionada, el alojamiento y la operación de la Instancia.</w:t>
      </w:r>
    </w:p>
    <w:p>
      <w:r>
        <w:rPr>
          <w:rFonts w:ascii="Times New Roman" w:hAnsi="Times New Roman" w:cs="Times New Roman" w:eastAsia="Times New Roman"/>
          <w:b w:val="0"/>
          <w:i w:val="0"/>
          <w:sz w:val="22"/>
        </w:rPr>
        <w:t xml:space="preserve">4.3. </w:t>
      </w:r>
      <w:r>
        <w:rPr>
          <w:rFonts w:ascii="Times New Roman" w:hAnsi="Times New Roman" w:cs="Times New Roman" w:eastAsia="Times New Roman"/>
          <w:b/>
          <w:i w:val="0"/>
          <w:sz w:val="22"/>
        </w:rPr>
        <w:t>Sin transmisión de titularidad.</w:t>
      </w:r>
      <w:r>
        <w:rPr>
          <w:rFonts w:ascii="Times New Roman" w:hAnsi="Times New Roman" w:cs="Times New Roman" w:eastAsia="Times New Roman"/>
          <w:b w:val="0"/>
          <w:i w:val="0"/>
          <w:sz w:val="22"/>
        </w:rPr>
        <w:t xml:space="preserve"> No se transmite a usted derecho de propiedad intelectual alguno sobre el Software. Todos los derechos no otorgados expresamente quedan reservados.</w:t>
      </w:r>
    </w:p>
    <w:p>
      <w:r>
        <w:rPr>
          <w:rFonts w:ascii="Times New Roman" w:hAnsi="Times New Roman" w:cs="Times New Roman" w:eastAsia="Times New Roman"/>
          <w:b w:val="0"/>
          <w:i w:val="0"/>
          <w:sz w:val="22"/>
        </w:rPr>
        <w:t>4.4. El escaneo espacial de Emplazamientos, la configuración, el desarrollo de escenarios, la integración con los sistemas de información del Cliente y la formación del personal (</w:t>
      </w:r>
      <w:r>
        <w:rPr>
          <w:rFonts w:ascii="Times New Roman" w:hAnsi="Times New Roman" w:cs="Times New Roman" w:eastAsia="Times New Roman"/>
          <w:b/>
          <w:i w:val="0"/>
          <w:sz w:val="22"/>
        </w:rPr>
        <w:t>«Servicios de Implantación»</w:t>
      </w:r>
      <w:r>
        <w:rPr>
          <w:rFonts w:ascii="Times New Roman" w:hAnsi="Times New Roman" w:cs="Times New Roman" w:eastAsia="Times New Roman"/>
          <w:b w:val="0"/>
          <w:i w:val="0"/>
          <w:sz w:val="22"/>
        </w:rPr>
        <w:t>) quedan fuera del objeto de estas Condiciones, salvo indicación expresa en el Formulario de Pedido, y son prestados por el Socio en virtud de un acuerdo independiente entre el Socio y el Cliente.</w:t>
      </w:r>
    </w:p>
    <w:p>
      <w:pPr>
        <w:pStyle w:val="Heading1"/>
        <w:keepNext/>
        <w:pageBreakBefore/>
        <w:jc w:val="center"/>
      </w:pPr>
      <w:r>
        <w:rPr>
          <w:rFonts w:ascii="Times New Roman" w:hAnsi="Times New Roman" w:cs="Times New Roman" w:eastAsia="Times New Roman"/>
          <w:b/>
          <w:i w:val="0"/>
          <w:sz w:val="26"/>
        </w:rPr>
        <w:t>PARTE B. CONDICIONES PARA SOCIOS (INTEGRADORES)</w:t>
      </w:r>
    </w:p>
    <w:p>
      <w:pPr>
        <w:pStyle w:val="Heading2"/>
        <w:keepNext/>
      </w:pPr>
      <w:r>
        <w:rPr>
          <w:rFonts w:ascii="Times New Roman" w:hAnsi="Times New Roman" w:cs="Times New Roman" w:eastAsia="Times New Roman"/>
          <w:b/>
          <w:i w:val="0"/>
          <w:sz w:val="23"/>
        </w:rPr>
        <w:t>B.1. Condición de Socio y certificación</w:t>
      </w:r>
    </w:p>
    <w:p>
      <w:r>
        <w:rPr>
          <w:rFonts w:ascii="Times New Roman" w:hAnsi="Times New Roman" w:cs="Times New Roman" w:eastAsia="Times New Roman"/>
          <w:b w:val="0"/>
          <w:i w:val="0"/>
          <w:sz w:val="22"/>
        </w:rPr>
        <w:t>B.1.1. El Software se comercializa e implanta en los clientes finales a través de socios integradores certificados. El Socio realiza el escaneo espacial, el registro del equipamiento, el desarrollo de escenarios, la formación del cliente y el soporte de primer nivel. El Licenciante aporta la plataforma, la habilitación del socio y el soporte de segundo nivel.</w:t>
      </w:r>
    </w:p>
    <w:p>
      <w:r>
        <w:rPr>
          <w:rFonts w:ascii="Times New Roman" w:hAnsi="Times New Roman" w:cs="Times New Roman" w:eastAsia="Times New Roman"/>
          <w:b w:val="0"/>
          <w:i w:val="0"/>
          <w:sz w:val="22"/>
        </w:rPr>
        <w:t>B.1.2. La condición de socio certificado exige, de forma acumulativa: (a) la aceptación de estas Condiciones; (b) que al menos dos (2) personas del Socio hayan completado el programa de formación del Licenciante y mantengan certificados vigentes; (c) la inexistencia de importes vencidos a favor del Licenciante.</w:t>
      </w:r>
    </w:p>
    <w:p>
      <w:r>
        <w:rPr>
          <w:rFonts w:ascii="Times New Roman" w:hAnsi="Times New Roman" w:cs="Times New Roman" w:eastAsia="Times New Roman"/>
          <w:b w:val="0"/>
          <w:i w:val="0"/>
          <w:sz w:val="22"/>
        </w:rPr>
        <w:t>B.1.3. Los certificados individuales tienen una validez de doce (12) meses y deben renovarse. El descenso por debajo del número exigido de certificados vigentes suspende los derechos de la cláusula B.2.2 hasta que se restablezca el cumplimiento, pero no suspende las obligaciones del Socio frente a los Clientes existentes ni frente al Licenciante.</w:t>
      </w:r>
    </w:p>
    <w:p>
      <w:r>
        <w:rPr>
          <w:rFonts w:ascii="Times New Roman" w:hAnsi="Times New Roman" w:cs="Times New Roman" w:eastAsia="Times New Roman"/>
          <w:b w:val="0"/>
          <w:i w:val="0"/>
          <w:sz w:val="22"/>
        </w:rPr>
        <w:t>B.1.4. El Socio actúa en su propio nombre y por cuenta propia. Estas Condiciones no crean relación de agencia, sociedad, empresa conjunta ni laboral. El Socio no podrá contraer obligaciones en nombre del Licenciante, ni formular declaraciones sobre el Software más allá de la documentación oficial, ni contratar en nombre del Licenciante.</w:t>
      </w:r>
    </w:p>
    <w:p>
      <w:pPr>
        <w:pStyle w:val="Heading2"/>
        <w:keepNext/>
      </w:pPr>
      <w:r>
        <w:rPr>
          <w:rFonts w:ascii="Times New Roman" w:hAnsi="Times New Roman" w:cs="Times New Roman" w:eastAsia="Times New Roman"/>
          <w:b/>
          <w:i w:val="0"/>
          <w:sz w:val="23"/>
        </w:rPr>
        <w:t>B.2. Derechos otorgados</w:t>
      </w:r>
    </w:p>
    <w:p>
      <w:r>
        <w:rPr>
          <w:rFonts w:ascii="Times New Roman" w:hAnsi="Times New Roman" w:cs="Times New Roman" w:eastAsia="Times New Roman"/>
          <w:b w:val="0"/>
          <w:i w:val="0"/>
          <w:sz w:val="22"/>
        </w:rPr>
        <w:t xml:space="preserve">B.2.1. </w:t>
      </w:r>
      <w:r>
        <w:rPr>
          <w:rFonts w:ascii="Times New Roman" w:hAnsi="Times New Roman" w:cs="Times New Roman" w:eastAsia="Times New Roman"/>
          <w:b/>
          <w:i w:val="0"/>
          <w:sz w:val="22"/>
        </w:rPr>
        <w:t>Derechos de uso propio.</w:t>
      </w:r>
      <w:r>
        <w:rPr>
          <w:rFonts w:ascii="Times New Roman" w:hAnsi="Times New Roman" w:cs="Times New Roman" w:eastAsia="Times New Roman"/>
          <w:b w:val="0"/>
          <w:i w:val="0"/>
          <w:sz w:val="22"/>
        </w:rPr>
        <w:t xml:space="preserve"> El Licenciante otorga al Socio una licencia no exclusiva para utilizar el Software con fines de demostración, pruebas, desarrollo de escenarios y formación de su propio personal. El número y la configuración de dichas Instancias no destinadas a reventa figuran en el Anexo 2. Tales Instancias no podrán utilizarse para prestar servicios en producción a Clientes.</w:t>
      </w:r>
    </w:p>
    <w:p>
      <w:r>
        <w:rPr>
          <w:rFonts w:ascii="Times New Roman" w:hAnsi="Times New Roman" w:cs="Times New Roman" w:eastAsia="Times New Roman"/>
          <w:b w:val="0"/>
          <w:i w:val="0"/>
          <w:sz w:val="22"/>
        </w:rPr>
        <w:t xml:space="preserve">B.2.2. </w:t>
      </w:r>
      <w:r>
        <w:rPr>
          <w:rFonts w:ascii="Times New Roman" w:hAnsi="Times New Roman" w:cs="Times New Roman" w:eastAsia="Times New Roman"/>
          <w:b/>
          <w:i w:val="0"/>
          <w:sz w:val="22"/>
        </w:rPr>
        <w:t>Derecho de sublicencia.</w:t>
      </w:r>
      <w:r>
        <w:rPr>
          <w:rFonts w:ascii="Times New Roman" w:hAnsi="Times New Roman" w:cs="Times New Roman" w:eastAsia="Times New Roman"/>
          <w:b w:val="0"/>
          <w:i w:val="0"/>
          <w:sz w:val="22"/>
        </w:rPr>
        <w:t xml:space="preserve"> El Licenciante otorga al Socio el derecho a conceder a Clientes derechos de uso del Software, en condiciones no más amplias que las de estas Condiciones y del Formulario de Pedido del Socio, y por un plazo no superior al propio Plazo de Licencia del Socio. Esta cláusula constituye el consentimiento escrito del Licenciante a dicha sublicencia dentro de esos límites.</w:t>
      </w:r>
    </w:p>
    <w:p>
      <w:r>
        <w:rPr>
          <w:rFonts w:ascii="Times New Roman" w:hAnsi="Times New Roman" w:cs="Times New Roman" w:eastAsia="Times New Roman"/>
          <w:b w:val="0"/>
          <w:i w:val="0"/>
          <w:sz w:val="22"/>
        </w:rPr>
        <w:t xml:space="preserve">B.2.3. </w:t>
      </w:r>
      <w:r>
        <w:rPr>
          <w:rFonts w:ascii="Times New Roman" w:hAnsi="Times New Roman" w:cs="Times New Roman" w:eastAsia="Times New Roman"/>
          <w:b/>
          <w:i w:val="0"/>
          <w:sz w:val="22"/>
        </w:rPr>
        <w:t>Territorio:</w:t>
      </w:r>
      <w:r>
        <w:rPr>
          <w:rFonts w:ascii="Times New Roman" w:hAnsi="Times New Roman" w:cs="Times New Roman" w:eastAsia="Times New Roman"/>
          <w:b w:val="0"/>
          <w:i w:val="0"/>
          <w:sz w:val="22"/>
        </w:rPr>
        <w:t xml:space="preserve"> mundial, con exclusión de la Federación de Rusia y de cualquier jurisdicción en la que el uso esté prohibido conforme a la cláusula C.14, salvo que el Formulario de Pedido fije un territorio más reducido. El Socio no podrá otorgar, ni pretender otorgar, derecho alguno respecto de un territorio excluido. El territorio indicado </w:t>
      </w:r>
      <w:r>
        <w:rPr>
          <w:rFonts w:ascii="Times New Roman" w:hAnsi="Times New Roman" w:cs="Times New Roman" w:eastAsia="Times New Roman"/>
          <w:b/>
          <w:i w:val="0"/>
          <w:sz w:val="22"/>
        </w:rPr>
        <w:t>no es exclusivo</w:t>
      </w:r>
      <w:r>
        <w:rPr>
          <w:rFonts w:ascii="Times New Roman" w:hAnsi="Times New Roman" w:cs="Times New Roman" w:eastAsia="Times New Roman"/>
          <w:b w:val="0"/>
          <w:i w:val="0"/>
          <w:sz w:val="22"/>
        </w:rPr>
        <w:t>; el Licenciante puede designar otros socios en el mismo territorio y contratar directamente con Clientes.</w:t>
      </w:r>
    </w:p>
    <w:p>
      <w:r>
        <w:rPr>
          <w:rFonts w:ascii="Times New Roman" w:hAnsi="Times New Roman" w:cs="Times New Roman" w:eastAsia="Times New Roman"/>
          <w:b w:val="0"/>
          <w:i w:val="0"/>
          <w:sz w:val="22"/>
        </w:rPr>
        <w:t>B.2.4. El Socio deberá asegurar que todo acuerdo con un Cliente incluya condiciones no menos protectoras que las Condiciones para Clientes y la Parte C de estas Condiciones, en particular las restricciones de licencia (A.3 de las Condiciones para Clientes), las disposiciones sobre Contenido del Cliente y titularidad del Software (C.3, C.4), confidencialidad (C.7), limitación de responsabilidad (C.10) y consecuencias de la finalización de la Suscripción (C.11). La obtención de la aceptación de las Condiciones para Clientes por parte del Cliente satisface esta obligación.</w:t>
      </w:r>
    </w:p>
    <w:p>
      <w:r>
        <w:rPr>
          <w:rFonts w:ascii="Times New Roman" w:hAnsi="Times New Roman" w:cs="Times New Roman" w:eastAsia="Times New Roman"/>
          <w:b w:val="0"/>
          <w:i w:val="0"/>
          <w:sz w:val="22"/>
        </w:rPr>
        <w:t>B.2.5. El Socio responde frente al Licenciante de los actos y omisiones de sus Clientes en relación con el Software como si fueran propios.</w:t>
      </w:r>
    </w:p>
    <w:p>
      <w:pPr>
        <w:pStyle w:val="Heading2"/>
        <w:keepNext/>
      </w:pPr>
      <w:r>
        <w:rPr>
          <w:rFonts w:ascii="Times New Roman" w:hAnsi="Times New Roman" w:cs="Times New Roman" w:eastAsia="Times New Roman"/>
          <w:b/>
          <w:i w:val="0"/>
          <w:sz w:val="23"/>
        </w:rPr>
        <w:t>B.3. Obligaciones del Socio</w:t>
      </w:r>
    </w:p>
    <w:p>
      <w:r>
        <w:rPr>
          <w:rFonts w:ascii="Times New Roman" w:hAnsi="Times New Roman" w:cs="Times New Roman" w:eastAsia="Times New Roman"/>
          <w:b w:val="0"/>
          <w:i w:val="0"/>
          <w:sz w:val="22"/>
        </w:rPr>
        <w:t>B.3.1. El Socio se obliga a:</w:t>
      </w:r>
    </w:p>
    <w:p>
      <w:pPr>
        <w:spacing w:after="40"/>
        <w:ind w:left="709" w:hanging="425"/>
      </w:pPr>
      <w:r>
        <w:rPr>
          <w:rFonts w:ascii="Times New Roman" w:hAnsi="Times New Roman" w:cs="Times New Roman" w:eastAsia="Times New Roman"/>
          <w:b w:val="0"/>
          <w:i w:val="0"/>
          <w:sz w:val="22"/>
        </w:rPr>
        <w:t>1) realizar el escaneo espacial de los Emplazamientos, el registro de Máquinas Cubiertas y Dispositivos, la configuración y el desarrollo de escenarios conforme a la metodología del Licenciante;</w:t>
      </w:r>
    </w:p>
    <w:p>
      <w:pPr>
        <w:spacing w:after="40"/>
        <w:ind w:left="709" w:hanging="425"/>
      </w:pPr>
      <w:r>
        <w:rPr>
          <w:rFonts w:ascii="Times New Roman" w:hAnsi="Times New Roman" w:cs="Times New Roman" w:eastAsia="Times New Roman"/>
          <w:b w:val="0"/>
          <w:i w:val="0"/>
          <w:sz w:val="22"/>
        </w:rPr>
        <w:t>2) prestar a los Clientes soporte de primer nivel con un estándar no inferior al previsto en el Anexo 3 para el Plan aplicable, y escalar correctamente al segundo nivel;</w:t>
      </w:r>
    </w:p>
    <w:p>
      <w:pPr>
        <w:spacing w:after="40"/>
        <w:ind w:left="709" w:hanging="425"/>
      </w:pPr>
      <w:r>
        <w:rPr>
          <w:rFonts w:ascii="Times New Roman" w:hAnsi="Times New Roman" w:cs="Times New Roman" w:eastAsia="Times New Roman"/>
          <w:b w:val="0"/>
          <w:i w:val="0"/>
          <w:sz w:val="22"/>
        </w:rPr>
        <w:t>3) formar al personal del Cliente;</w:t>
      </w:r>
    </w:p>
    <w:p>
      <w:pPr>
        <w:spacing w:after="40"/>
        <w:ind w:left="709" w:hanging="425"/>
      </w:pPr>
      <w:r>
        <w:rPr>
          <w:rFonts w:ascii="Times New Roman" w:hAnsi="Times New Roman" w:cs="Times New Roman" w:eastAsia="Times New Roman"/>
          <w:b w:val="0"/>
          <w:i w:val="0"/>
          <w:sz w:val="22"/>
        </w:rPr>
        <w:t>4) llevar y presentar la información periódica prevista en la cláusula B.4;</w:t>
      </w:r>
    </w:p>
    <w:p>
      <w:pPr>
        <w:spacing w:after="40"/>
        <w:ind w:left="709" w:hanging="425"/>
      </w:pPr>
      <w:r>
        <w:rPr>
          <w:rFonts w:ascii="Times New Roman" w:hAnsi="Times New Roman" w:cs="Times New Roman" w:eastAsia="Times New Roman"/>
          <w:b w:val="0"/>
          <w:i w:val="0"/>
          <w:sz w:val="22"/>
        </w:rPr>
        <w:t>5) comunicar al Licenciante sin demora, y en todo caso dentro de los tres (3) días hábiles siguientes a su conocimiento, cualquier sospecha de uso no autorizado del Software, cualquier incidente de seguridad y cualquier reclamación de terceros relativa al Software;</w:t>
      </w:r>
    </w:p>
    <w:p>
      <w:pPr>
        <w:spacing w:after="40"/>
        <w:ind w:left="709" w:hanging="425"/>
      </w:pPr>
      <w:r>
        <w:rPr>
          <w:rFonts w:ascii="Times New Roman" w:hAnsi="Times New Roman" w:cs="Times New Roman" w:eastAsia="Times New Roman"/>
          <w:b w:val="0"/>
          <w:i w:val="0"/>
          <w:sz w:val="22"/>
        </w:rPr>
        <w:t>6) abstenerse de realizar afirmaciones comerciales sobre el Software que no estén respaldadas por la documentación oficial del Licenciante, incluida cualquier afirmación de que se poseen las certificaciones enumeradas en la cláusula C.8.3;</w:t>
      </w:r>
    </w:p>
    <w:p>
      <w:pPr>
        <w:spacing w:after="40"/>
        <w:ind w:left="709" w:hanging="425"/>
      </w:pPr>
      <w:r>
        <w:rPr>
          <w:rFonts w:ascii="Times New Roman" w:hAnsi="Times New Roman" w:cs="Times New Roman" w:eastAsia="Times New Roman"/>
          <w:b w:val="0"/>
          <w:i w:val="0"/>
          <w:sz w:val="22"/>
        </w:rPr>
        <w:t>7) mantener la certificación conforme a las cláusulas B.1.2 y B.1.3.</w:t>
      </w:r>
    </w:p>
    <w:p>
      <w:r>
        <w:rPr>
          <w:rFonts w:ascii="Times New Roman" w:hAnsi="Times New Roman" w:cs="Times New Roman" w:eastAsia="Times New Roman"/>
          <w:b w:val="0"/>
          <w:i w:val="0"/>
          <w:sz w:val="22"/>
        </w:rPr>
        <w:t>B.3.2. El Socio soporta sus propios costes, incluidos personal, equipamiento de escaneo, desplazamientos y dietas.</w:t>
      </w:r>
    </w:p>
    <w:p>
      <w:r>
        <w:rPr>
          <w:rFonts w:ascii="Times New Roman" w:hAnsi="Times New Roman" w:cs="Times New Roman" w:eastAsia="Times New Roman"/>
          <w:b w:val="0"/>
          <w:i w:val="0"/>
          <w:sz w:val="22"/>
        </w:rPr>
        <w:t>B.3.3. El Socio determina de forma autónoma el alcance, el precio y las condiciones de sus propios servicios de implantación y soporte y responde exclusivamente de ellos frente a los Clientes. El Licenciante no es parte de los acuerdos entre el Socio y el Cliente ni responde de las obligaciones del Socio.</w:t>
      </w:r>
    </w:p>
    <w:p>
      <w:pPr>
        <w:pStyle w:val="Heading2"/>
        <w:keepNext/>
      </w:pPr>
      <w:r>
        <w:rPr>
          <w:rFonts w:ascii="Times New Roman" w:hAnsi="Times New Roman" w:cs="Times New Roman" w:eastAsia="Times New Roman"/>
          <w:b/>
          <w:i w:val="0"/>
          <w:sz w:val="23"/>
        </w:rPr>
        <w:t>B.4. Información periódica y auditoría</w:t>
      </w:r>
    </w:p>
    <w:p>
      <w:r>
        <w:rPr>
          <w:rFonts w:ascii="Times New Roman" w:hAnsi="Times New Roman" w:cs="Times New Roman" w:eastAsia="Times New Roman"/>
          <w:b w:val="0"/>
          <w:i w:val="0"/>
          <w:sz w:val="22"/>
        </w:rPr>
        <w:t>B.4.1. Antes del día diez (10) de cada mes, el Socio presentará un informe de uso del mes anterior que incluya, por cada Cliente: denominación y número de registro, Plan, Modelo de Despliegue, Emplazamientos, número de Máquinas Cubiertas y Dispositivos, período del otorgamiento y contraprestación debida al Licenciante.</w:t>
      </w:r>
    </w:p>
    <w:p>
      <w:r>
        <w:rPr>
          <w:rFonts w:ascii="Times New Roman" w:hAnsi="Times New Roman" w:cs="Times New Roman" w:eastAsia="Times New Roman"/>
          <w:b w:val="0"/>
          <w:i w:val="0"/>
          <w:sz w:val="22"/>
        </w:rPr>
        <w:t>B.4.2. Los informes se presentan a través de ARSY AI Space o en otra forma acordada. Los datos registrados en ARSY AI Space se consideran confirmados si el Socio no formula objeción en el plazo de cinco (5) días hábiles.</w:t>
      </w:r>
    </w:p>
    <w:p>
      <w:r>
        <w:rPr>
          <w:rFonts w:ascii="Times New Roman" w:hAnsi="Times New Roman" w:cs="Times New Roman" w:eastAsia="Times New Roman"/>
          <w:b w:val="0"/>
          <w:i w:val="0"/>
          <w:sz w:val="22"/>
        </w:rPr>
        <w:t>B.4.3. Como máximo una vez cada doce (12) meses y con un preaviso de quince (15) días hábiles, el Licenciante podrá auditar la exactitud de la información del Socio en cuanto se refiera al Software. Las auditorías se realizarán en horario laboral, no perturbarán de forma irrazonable la actividad del Socio y no alcanzarán a información ajena al Software. Si la auditoría revela una infravaloración superior al cinco por ciento (5 %), el Socio abonará la diferencia junto con los costes razonables de auditoría del Licenciante.</w:t>
      </w:r>
    </w:p>
    <w:p>
      <w:pPr>
        <w:pStyle w:val="Heading2"/>
        <w:keepNext/>
      </w:pPr>
      <w:r>
        <w:rPr>
          <w:rFonts w:ascii="Times New Roman" w:hAnsi="Times New Roman" w:cs="Times New Roman" w:eastAsia="Times New Roman"/>
          <w:b/>
          <w:i w:val="0"/>
          <w:sz w:val="23"/>
        </w:rPr>
        <w:t>B.5. Precios del Socio</w:t>
      </w:r>
    </w:p>
    <w:p>
      <w:r>
        <w:rPr>
          <w:rFonts w:ascii="Times New Roman" w:hAnsi="Times New Roman" w:cs="Times New Roman" w:eastAsia="Times New Roman"/>
          <w:b w:val="0"/>
          <w:i w:val="0"/>
          <w:sz w:val="22"/>
        </w:rPr>
        <w:t>B.5.1. El Socio adquiere derechos de uso del Software para su ulterior otorgamiento a las tarifas de la Lista de Precios menos el descuento de socio aplicable. Los niveles de descuento figuran en el Anexo 2 y/o en el Formulario de Pedido y pueden depender del nivel de socio y del volumen.</w:t>
      </w:r>
    </w:p>
    <w:p>
      <w:r>
        <w:rPr>
          <w:rFonts w:ascii="Times New Roman" w:hAnsi="Times New Roman" w:cs="Times New Roman" w:eastAsia="Times New Roman"/>
          <w:b w:val="0"/>
          <w:i w:val="0"/>
          <w:sz w:val="22"/>
        </w:rPr>
        <w:t xml:space="preserve">B.5.2. </w:t>
      </w:r>
      <w:r>
        <w:rPr>
          <w:rFonts w:ascii="Times New Roman" w:hAnsi="Times New Roman" w:cs="Times New Roman" w:eastAsia="Times New Roman"/>
          <w:b/>
          <w:i w:val="0"/>
          <w:sz w:val="22"/>
        </w:rPr>
        <w:t>El Socio determina, a su exclusivo criterio, los precios a los que otorga derechos de uso del Software y presta sus propios servicios a los Clientes.</w:t>
      </w:r>
      <w:r>
        <w:rPr>
          <w:rFonts w:ascii="Times New Roman" w:hAnsi="Times New Roman" w:cs="Times New Roman" w:eastAsia="Times New Roman"/>
          <w:b w:val="0"/>
          <w:i w:val="0"/>
          <w:sz w:val="22"/>
        </w:rPr>
        <w:t xml:space="preserve"> Los precios publicados por el Licenciante son meramente recomendados y no vinculan al Socio. Nada en estas Condiciones pretende restringir la libertad del Socio para fijar sus precios de reventa.</w:t>
      </w:r>
    </w:p>
    <w:p>
      <w:r>
        <w:rPr>
          <w:rFonts w:ascii="Times New Roman" w:hAnsi="Times New Roman" w:cs="Times New Roman" w:eastAsia="Times New Roman"/>
          <w:b w:val="0"/>
          <w:i w:val="0"/>
          <w:sz w:val="22"/>
        </w:rPr>
        <w:t>B.5.3. El registro de oportunidades se realiza en ARSY AI Space. El procedimiento, el plazo de protección y las reglas de resolución de conflictos figuran en el Anexo 2.</w:t>
      </w:r>
    </w:p>
    <w:p>
      <w:pPr>
        <w:pStyle w:val="Heading2"/>
        <w:keepNext/>
      </w:pPr>
      <w:r>
        <w:rPr>
          <w:rFonts w:ascii="Times New Roman" w:hAnsi="Times New Roman" w:cs="Times New Roman" w:eastAsia="Times New Roman"/>
          <w:b/>
          <w:i w:val="0"/>
          <w:sz w:val="23"/>
        </w:rPr>
        <w:t>B.6. Signos distintivos</w:t>
      </w:r>
    </w:p>
    <w:p>
      <w:r>
        <w:rPr>
          <w:rFonts w:ascii="Times New Roman" w:hAnsi="Times New Roman" w:cs="Times New Roman" w:eastAsia="Times New Roman"/>
          <w:b w:val="0"/>
          <w:i w:val="0"/>
          <w:sz w:val="22"/>
        </w:rPr>
        <w:t>B.6.1. Durante la vigencia del contrato, el Licenciante otorga al Socio un derecho no exclusivo de uso de los signos «ARSY AI» y «AR Clip VPS», de los logotipos y demás signos distintivos del Licenciante, exclusivamente para promocionar y comercializar el Software y con estricta sujeción a las directrices de marca del Licenciante.</w:t>
      </w:r>
    </w:p>
    <w:p>
      <w:r>
        <w:rPr>
          <w:rFonts w:ascii="Times New Roman" w:hAnsi="Times New Roman" w:cs="Times New Roman" w:eastAsia="Times New Roman"/>
          <w:b w:val="0"/>
          <w:i w:val="0"/>
          <w:sz w:val="22"/>
        </w:rPr>
        <w:t>B.6.2. El Socio no podrá registrar signos confundibles, ni incorporar los signos del Licenciante a su denominación social, nombres de dominio o cuentas en redes sociales sin consentimiento escrito, ni utilizarlos de modo que sugiera que el Socio es titular del Software.</w:t>
      </w:r>
    </w:p>
    <w:p>
      <w:r>
        <w:rPr>
          <w:rFonts w:ascii="Times New Roman" w:hAnsi="Times New Roman" w:cs="Times New Roman" w:eastAsia="Times New Roman"/>
          <w:b w:val="0"/>
          <w:i w:val="0"/>
          <w:sz w:val="22"/>
        </w:rPr>
        <w:t>B.6.3. Estos derechos se extinguen con el contrato; el Socio cesará todo uso en el plazo de treinta (30) días.</w:t>
      </w:r>
    </w:p>
    <w:p>
      <w:pPr>
        <w:pStyle w:val="Heading2"/>
        <w:keepNext/>
      </w:pPr>
      <w:r>
        <w:rPr>
          <w:rFonts w:ascii="Times New Roman" w:hAnsi="Times New Roman" w:cs="Times New Roman" w:eastAsia="Times New Roman"/>
          <w:b/>
          <w:i w:val="0"/>
          <w:sz w:val="23"/>
        </w:rPr>
        <w:t>B.7. Continuidad de los Clientes al extinguirse el contrato del Socio</w:t>
      </w:r>
    </w:p>
    <w:p>
      <w:r>
        <w:rPr>
          <w:rFonts w:ascii="Times New Roman" w:hAnsi="Times New Roman" w:cs="Times New Roman" w:eastAsia="Times New Roman"/>
          <w:b w:val="0"/>
          <w:i w:val="0"/>
          <w:sz w:val="22"/>
        </w:rPr>
        <w:t>B.7.1. La extinción del contrato con un Socio no extingue por sí misma los derechos ya otorgados a los Clientes, siempre que la contraprestación correspondiente al Período de Facturación abonado haya llegado al Licenciante.</w:t>
      </w:r>
    </w:p>
    <w:p>
      <w:r>
        <w:rPr>
          <w:rFonts w:ascii="Times New Roman" w:hAnsi="Times New Roman" w:cs="Times New Roman" w:eastAsia="Times New Roman"/>
          <w:b w:val="0"/>
          <w:i w:val="0"/>
          <w:sz w:val="22"/>
        </w:rPr>
        <w:t>B.7.2. Al extinguirse, el Licenciante podrá asumir la atención de los Clientes afectados o transferirla a otro socio certificado. El Socio entregará, en el plazo de veinte (20) días hábiles y con sujeción a sus obligaciones frente a dichos Clientes, la información y los materiales necesarios para una atención ininterrumpida (configuraciones, escenarios, datos de contacto de los responsables).</w:t>
      </w:r>
    </w:p>
    <w:p>
      <w:pPr>
        <w:pStyle w:val="Heading1"/>
        <w:keepNext/>
        <w:pageBreakBefore/>
        <w:jc w:val="center"/>
      </w:pPr>
      <w:r>
        <w:rPr>
          <w:rFonts w:ascii="Times New Roman" w:hAnsi="Times New Roman" w:cs="Times New Roman" w:eastAsia="Times New Roman"/>
          <w:b/>
          <w:i w:val="0"/>
          <w:sz w:val="26"/>
        </w:rPr>
        <w:t>PARTE C. CONDICIONES GENERALES</w:t>
      </w:r>
    </w:p>
    <w:p>
      <w:pPr>
        <w:pStyle w:val="Heading2"/>
        <w:keepNext/>
      </w:pPr>
      <w:r>
        <w:rPr>
          <w:rFonts w:ascii="Times New Roman" w:hAnsi="Times New Roman" w:cs="Times New Roman" w:eastAsia="Times New Roman"/>
          <w:b/>
          <w:i w:val="0"/>
          <w:sz w:val="23"/>
        </w:rPr>
        <w:t>C.1. Contraprestación y pago</w:t>
      </w:r>
    </w:p>
    <w:p>
      <w:r>
        <w:rPr>
          <w:rFonts w:ascii="Times New Roman" w:hAnsi="Times New Roman" w:cs="Times New Roman" w:eastAsia="Times New Roman"/>
          <w:b w:val="0"/>
          <w:i w:val="0"/>
          <w:sz w:val="22"/>
        </w:rPr>
        <w:t xml:space="preserve">C.1.1. </w:t>
      </w:r>
      <w:r>
        <w:rPr>
          <w:rFonts w:ascii="Times New Roman" w:hAnsi="Times New Roman" w:cs="Times New Roman" w:eastAsia="Times New Roman"/>
          <w:b/>
          <w:i w:val="0"/>
          <w:sz w:val="22"/>
        </w:rPr>
        <w:t>Estructura de la contraprestación:</w:t>
      </w:r>
    </w:p>
    <w:p>
      <w:pPr>
        <w:spacing w:after="40"/>
        <w:ind w:left="709" w:hanging="425"/>
      </w:pPr>
      <w:r>
        <w:rPr>
          <w:rFonts w:ascii="Times New Roman" w:hAnsi="Times New Roman" w:cs="Times New Roman" w:eastAsia="Times New Roman"/>
          <w:b w:val="0"/>
          <w:i w:val="0"/>
          <w:sz w:val="22"/>
        </w:rPr>
        <w:t xml:space="preserve">1) una </w:t>
      </w:r>
      <w:r>
        <w:rPr>
          <w:rFonts w:ascii="Times New Roman" w:hAnsi="Times New Roman" w:cs="Times New Roman" w:eastAsia="Times New Roman"/>
          <w:b/>
          <w:i w:val="0"/>
          <w:sz w:val="22"/>
        </w:rPr>
        <w:t>cuota base por Emplazamiento</w:t>
      </w:r>
      <w:r>
        <w:rPr>
          <w:rFonts w:ascii="Times New Roman" w:hAnsi="Times New Roman" w:cs="Times New Roman" w:eastAsia="Times New Roman"/>
          <w:b w:val="0"/>
          <w:i w:val="0"/>
          <w:sz w:val="22"/>
        </w:rPr>
        <w:t>, según el Plan;</w:t>
      </w:r>
    </w:p>
    <w:p>
      <w:pPr>
        <w:spacing w:after="40"/>
        <w:ind w:left="709" w:hanging="425"/>
      </w:pPr>
      <w:r>
        <w:rPr>
          <w:rFonts w:ascii="Times New Roman" w:hAnsi="Times New Roman" w:cs="Times New Roman" w:eastAsia="Times New Roman"/>
          <w:b w:val="0"/>
          <w:i w:val="0"/>
          <w:sz w:val="22"/>
        </w:rPr>
        <w:t xml:space="preserve">2) una </w:t>
      </w:r>
      <w:r>
        <w:rPr>
          <w:rFonts w:ascii="Times New Roman" w:hAnsi="Times New Roman" w:cs="Times New Roman" w:eastAsia="Times New Roman"/>
          <w:b/>
          <w:i w:val="0"/>
          <w:sz w:val="22"/>
        </w:rPr>
        <w:t>cuota mensual por Máquina Cubierta</w:t>
      </w:r>
      <w:r>
        <w:rPr>
          <w:rFonts w:ascii="Times New Roman" w:hAnsi="Times New Roman" w:cs="Times New Roman" w:eastAsia="Times New Roman"/>
          <w:b w:val="0"/>
          <w:i w:val="0"/>
          <w:sz w:val="22"/>
        </w:rPr>
        <w:t xml:space="preserve"> — de modo que el coste escala con la cantidad de equipamiento incorporado al guiado con RA;</w:t>
      </w:r>
    </w:p>
    <w:p>
      <w:pPr>
        <w:spacing w:after="40"/>
        <w:ind w:left="709" w:hanging="425"/>
      </w:pPr>
      <w:r>
        <w:rPr>
          <w:rFonts w:ascii="Times New Roman" w:hAnsi="Times New Roman" w:cs="Times New Roman" w:eastAsia="Times New Roman"/>
          <w:b w:val="0"/>
          <w:i w:val="0"/>
          <w:sz w:val="22"/>
        </w:rPr>
        <w:t>3) importes únicos y periódicos por las opciones On-Premise (despliegue en servidor local, licencia de servidor local, integraciones, soporte de integraciones) conforme al Anexo 2.</w:t>
      </w:r>
    </w:p>
    <w:p>
      <w:r>
        <w:rPr>
          <w:rFonts w:ascii="Times New Roman" w:hAnsi="Times New Roman" w:cs="Times New Roman" w:eastAsia="Times New Roman"/>
          <w:b w:val="0"/>
          <w:i w:val="0"/>
          <w:sz w:val="22"/>
        </w:rPr>
        <w:t>C.1.2. El número de Usuarios no influye en la contraprestación.</w:t>
      </w:r>
    </w:p>
    <w:p>
      <w:r>
        <w:rPr>
          <w:rFonts w:ascii="Times New Roman" w:hAnsi="Times New Roman" w:cs="Times New Roman" w:eastAsia="Times New Roman"/>
          <w:b w:val="0"/>
          <w:i w:val="0"/>
          <w:sz w:val="22"/>
        </w:rPr>
        <w:t>C.1.3. La contraprestación de cada contrato se fija en el Formulario de Pedido con base en la Lista de Precios vigente en la fecha de la factura. Los precios que figuran en arsy.ai son precios de tarifa orientativos y no constituyen oferta en cuanto a su importe.</w:t>
      </w:r>
    </w:p>
    <w:p>
      <w:r>
        <w:rPr>
          <w:rFonts w:ascii="Times New Roman" w:hAnsi="Times New Roman" w:cs="Times New Roman" w:eastAsia="Times New Roman"/>
          <w:b w:val="0"/>
          <w:i w:val="0"/>
          <w:sz w:val="22"/>
        </w:rPr>
        <w:t xml:space="preserve">C.1.4. </w:t>
      </w:r>
      <w:r>
        <w:rPr>
          <w:rFonts w:ascii="Times New Roman" w:hAnsi="Times New Roman" w:cs="Times New Roman" w:eastAsia="Times New Roman"/>
          <w:b/>
          <w:i w:val="0"/>
          <w:sz w:val="22"/>
        </w:rPr>
        <w:t>Condiciones de pago:</w:t>
      </w:r>
      <w:r>
        <w:rPr>
          <w:rFonts w:ascii="Times New Roman" w:hAnsi="Times New Roman" w:cs="Times New Roman" w:eastAsia="Times New Roman"/>
          <w:b w:val="0"/>
          <w:i w:val="0"/>
          <w:sz w:val="22"/>
        </w:rPr>
        <w:t xml:space="preserve"> 100 % por anticipado por cada Período de Facturación contra factura del Licenciante, salvo que el Formulario de Pedido disponga otra cosa. El Período de Facturación es de un mes o de un año, según se elija en el Formulario de Pedido.</w:t>
      </w:r>
    </w:p>
    <w:p>
      <w:r>
        <w:rPr>
          <w:rFonts w:ascii="Times New Roman" w:hAnsi="Times New Roman" w:cs="Times New Roman" w:eastAsia="Times New Roman"/>
          <w:b w:val="0"/>
          <w:i w:val="0"/>
          <w:sz w:val="22"/>
        </w:rPr>
        <w:t xml:space="preserve">C.1.5. </w:t>
      </w:r>
      <w:r>
        <w:rPr>
          <w:rFonts w:ascii="Times New Roman" w:hAnsi="Times New Roman" w:cs="Times New Roman" w:eastAsia="Times New Roman"/>
          <w:b/>
          <w:i w:val="0"/>
          <w:sz w:val="22"/>
        </w:rPr>
        <w:t>Descuento anual.</w:t>
      </w:r>
      <w:r>
        <w:rPr>
          <w:rFonts w:ascii="Times New Roman" w:hAnsi="Times New Roman" w:cs="Times New Roman" w:eastAsia="Times New Roman"/>
          <w:b w:val="0"/>
          <w:i w:val="0"/>
          <w:sz w:val="22"/>
        </w:rPr>
        <w:t xml:space="preserve"> Cuando se elige un Período de Facturación anual se aplica un descuento del veinte por ciento (20 %) sobre la suma de las cuotas mensuales correspondientes a doce meses.</w:t>
      </w:r>
    </w:p>
    <w:p>
      <w:r>
        <w:rPr>
          <w:rFonts w:ascii="Times New Roman" w:hAnsi="Times New Roman" w:cs="Times New Roman" w:eastAsia="Times New Roman"/>
          <w:b w:val="0"/>
          <w:i w:val="0"/>
          <w:sz w:val="22"/>
        </w:rPr>
        <w:t>C.1.6. El pago se entiende realizado con el abono de los fondos en la cuenta del Licenciante. Todos los gastos bancarios, incluidas las comisiones de bancos corresponsales, corren a cargo del ordenante.</w:t>
      </w:r>
    </w:p>
    <w:p>
      <w:r>
        <w:rPr>
          <w:rFonts w:ascii="Times New Roman" w:hAnsi="Times New Roman" w:cs="Times New Roman" w:eastAsia="Times New Roman"/>
          <w:b w:val="0"/>
          <w:i w:val="0"/>
          <w:sz w:val="22"/>
        </w:rPr>
        <w:t xml:space="preserve">C.1.7. </w:t>
      </w:r>
      <w:r>
        <w:rPr>
          <w:rFonts w:ascii="Times New Roman" w:hAnsi="Times New Roman" w:cs="Times New Roman" w:eastAsia="Times New Roman"/>
          <w:b/>
          <w:i w:val="0"/>
          <w:sz w:val="22"/>
        </w:rPr>
        <w:t>Impuestos.</w:t>
      </w:r>
      <w:r>
        <w:rPr>
          <w:rFonts w:ascii="Times New Roman" w:hAnsi="Times New Roman" w:cs="Times New Roman" w:eastAsia="Times New Roman"/>
          <w:b w:val="0"/>
          <w:i w:val="0"/>
          <w:sz w:val="22"/>
        </w:rPr>
        <w:t xml:space="preserve"> Todos los importes se entienden sin IVA ni impuestos indirectos análogos, que la Contraparte abonará adicionalmente al tipo aplicable. Si la Contraparte estuviera legalmente obligada a practicar retención o deducción sobre un pago, el importe debido se incrementará de modo que el Licenciante perciba la cantidad que habría percibido de no mediar retención; la Contraparte facilitará los justificantes oficiales de los importes retenidos. Cuando corresponda a la Contraparte liquidar el impuesto mediante inversión del sujeto pasivo en su jurisdicción, así lo hará y lo acreditará a requerimiento.</w:t>
      </w:r>
    </w:p>
    <w:p>
      <w:r>
        <w:rPr>
          <w:rFonts w:ascii="Times New Roman" w:hAnsi="Times New Roman" w:cs="Times New Roman" w:eastAsia="Times New Roman"/>
          <w:b w:val="0"/>
          <w:i w:val="0"/>
          <w:sz w:val="22"/>
        </w:rPr>
        <w:t xml:space="preserve">C.1.8. </w:t>
      </w:r>
      <w:r>
        <w:rPr>
          <w:rFonts w:ascii="Times New Roman" w:hAnsi="Times New Roman" w:cs="Times New Roman" w:eastAsia="Times New Roman"/>
          <w:b/>
          <w:i w:val="0"/>
          <w:sz w:val="22"/>
        </w:rPr>
        <w:t>Cambios de precios.</w:t>
      </w:r>
      <w:r>
        <w:rPr>
          <w:rFonts w:ascii="Times New Roman" w:hAnsi="Times New Roman" w:cs="Times New Roman" w:eastAsia="Times New Roman"/>
          <w:b w:val="0"/>
          <w:i w:val="0"/>
          <w:sz w:val="22"/>
        </w:rPr>
        <w:t xml:space="preserve"> El Licenciante puede modificar la Lista de Precios. Los precios modificados se aplican a Períodos de Facturación que comiencen no antes de sesenta (60) días desde la comunicación, y nunca a un Período de Facturación ya abonado.</w:t>
      </w:r>
    </w:p>
    <w:p>
      <w:r>
        <w:rPr>
          <w:rFonts w:ascii="Times New Roman" w:hAnsi="Times New Roman" w:cs="Times New Roman" w:eastAsia="Times New Roman"/>
          <w:b w:val="0"/>
          <w:i w:val="0"/>
          <w:sz w:val="22"/>
        </w:rPr>
        <w:t xml:space="preserve">C.1.9. </w:t>
      </w:r>
      <w:r>
        <w:rPr>
          <w:rFonts w:ascii="Times New Roman" w:hAnsi="Times New Roman" w:cs="Times New Roman" w:eastAsia="Times New Roman"/>
          <w:b/>
          <w:i w:val="0"/>
          <w:sz w:val="22"/>
        </w:rPr>
        <w:t>Demora en el pago.</w:t>
      </w:r>
      <w:r>
        <w:rPr>
          <w:rFonts w:ascii="Times New Roman" w:hAnsi="Times New Roman" w:cs="Times New Roman" w:eastAsia="Times New Roman"/>
          <w:b w:val="0"/>
          <w:i w:val="0"/>
          <w:sz w:val="22"/>
        </w:rPr>
        <w:t xml:space="preserve"> Si el pago se demora más de diez (10) días hábiles, el Licenciante podrá, previa comunicación, suspender el acceso hasta la regularización. La suspensión no equivale a resolución, no prorroga el Plazo de Licencia ni exonera de la obligación de pago. El Licenciante podrá aplicar sobre los importes vencidos un interés del uno por ciento (1 %) mensual o el tipo máximo permitido por la ley aplicable, el que sea menor, devengado diariamente desde el vencimiento hasta el pago.</w:t>
      </w:r>
    </w:p>
    <w:p>
      <w:pPr>
        <w:pStyle w:val="Heading2"/>
        <w:keepNext/>
      </w:pPr>
      <w:r>
        <w:rPr>
          <w:rFonts w:ascii="Times New Roman" w:hAnsi="Times New Roman" w:cs="Times New Roman" w:eastAsia="Times New Roman"/>
          <w:b/>
          <w:i w:val="0"/>
          <w:sz w:val="23"/>
        </w:rPr>
        <w:t>C.2. Documentación y registros</w:t>
      </w:r>
    </w:p>
    <w:p>
      <w:r>
        <w:rPr>
          <w:rFonts w:ascii="Times New Roman" w:hAnsi="Times New Roman" w:cs="Times New Roman" w:eastAsia="Times New Roman"/>
          <w:b w:val="0"/>
          <w:i w:val="0"/>
          <w:sz w:val="22"/>
        </w:rPr>
        <w:t>C.2.1. El Licenciante emite factura por cada Período de Facturación. Cuando la jurisdicción de la Contraparte exija un documento de aceptación firmado, el Licenciante lo emitirá en el plazo de cinco (5) días hábiles desde la finalización del período correspondiente.</w:t>
      </w:r>
    </w:p>
    <w:p>
      <w:r>
        <w:rPr>
          <w:rFonts w:ascii="Times New Roman" w:hAnsi="Times New Roman" w:cs="Times New Roman" w:eastAsia="Times New Roman"/>
          <w:b w:val="0"/>
          <w:i w:val="0"/>
          <w:sz w:val="22"/>
        </w:rPr>
        <w:t>C.2.2. Emitido tal documento, la Contraparte deberá firmarlo o presentar objeción motivada en el plazo de cinco (5) días hábiles desde su recepción. A falta de ambos, las obligaciones del Licenciante correspondientes a dicho período se tendrán por cumplidas y aceptadas íntegramente.</w:t>
      </w:r>
    </w:p>
    <w:p>
      <w:r>
        <w:rPr>
          <w:rFonts w:ascii="Times New Roman" w:hAnsi="Times New Roman" w:cs="Times New Roman" w:eastAsia="Times New Roman"/>
          <w:b w:val="0"/>
          <w:i w:val="0"/>
          <w:sz w:val="22"/>
        </w:rPr>
        <w:t>C.2.3. Las partes reconocen plena eficacia jurídica a los documentos firmados con firma electrónica cualificada e intercambiados a través de prestadores de servicios de intercambio electrónico de documentos.</w:t>
      </w:r>
    </w:p>
    <w:p>
      <w:pPr>
        <w:pStyle w:val="Heading2"/>
        <w:keepNext/>
      </w:pPr>
      <w:r>
        <w:rPr>
          <w:rFonts w:ascii="Times New Roman" w:hAnsi="Times New Roman" w:cs="Times New Roman" w:eastAsia="Times New Roman"/>
          <w:b/>
          <w:i w:val="0"/>
          <w:sz w:val="23"/>
        </w:rPr>
        <w:t>C.3. Contenido del Cliente</w:t>
      </w:r>
    </w:p>
    <w:p>
      <w:r>
        <w:rPr>
          <w:rFonts w:ascii="Times New Roman" w:hAnsi="Times New Roman" w:cs="Times New Roman" w:eastAsia="Times New Roman"/>
          <w:b w:val="0"/>
          <w:i w:val="0"/>
          <w:sz w:val="22"/>
        </w:rPr>
        <w:t xml:space="preserve">C.3.1. </w:t>
      </w:r>
      <w:r>
        <w:rPr>
          <w:rFonts w:ascii="Times New Roman" w:hAnsi="Times New Roman" w:cs="Times New Roman" w:eastAsia="Times New Roman"/>
          <w:b/>
          <w:i w:val="0"/>
          <w:sz w:val="22"/>
        </w:rPr>
        <w:t>El Contenido del Cliente pertenece a la Contraparte que lo incorpora al Software o lo genera con él.</w:t>
      </w:r>
      <w:r>
        <w:rPr>
          <w:rFonts w:ascii="Times New Roman" w:hAnsi="Times New Roman" w:cs="Times New Roman" w:eastAsia="Times New Roman"/>
          <w:b w:val="0"/>
          <w:i w:val="0"/>
          <w:sz w:val="22"/>
        </w:rPr>
        <w:t xml:space="preserve"> Ni el Licenciante ni sociedades de su grupo adquieren titularidad ni otros derechos sobre el Contenido del Cliente, salvo la licencia limitada de la cláusula C.3.2.</w:t>
      </w:r>
    </w:p>
    <w:p>
      <w:r>
        <w:rPr>
          <w:rFonts w:ascii="Times New Roman" w:hAnsi="Times New Roman" w:cs="Times New Roman" w:eastAsia="Times New Roman"/>
          <w:b w:val="0"/>
          <w:i w:val="0"/>
          <w:sz w:val="22"/>
        </w:rPr>
        <w:t xml:space="preserve">C.3.2. La Contraparte otorga al Licenciante una licencia no exclusiva y gratuita para alojar, almacenar, tratar y adaptar técnicamente el Contenido del Cliente </w:t>
      </w:r>
      <w:r>
        <w:rPr>
          <w:rFonts w:ascii="Times New Roman" w:hAnsi="Times New Roman" w:cs="Times New Roman" w:eastAsia="Times New Roman"/>
          <w:b/>
          <w:i w:val="0"/>
          <w:sz w:val="22"/>
        </w:rPr>
        <w:t>exclusivamente en la medida necesaria para operar el Software y prestar soporte, y solo durante el Plazo de Licencia.</w:t>
      </w:r>
      <w:r>
        <w:rPr>
          <w:rFonts w:ascii="Times New Roman" w:hAnsi="Times New Roman" w:cs="Times New Roman" w:eastAsia="Times New Roman"/>
          <w:b w:val="0"/>
          <w:i w:val="0"/>
          <w:sz w:val="22"/>
        </w:rPr>
        <w:t xml:space="preserve"> Dicha licencia se extingue al finalizar el Plazo de Licencia, con sujeción a la cláusula C.11.</w:t>
      </w:r>
    </w:p>
    <w:p>
      <w:r>
        <w:rPr>
          <w:rFonts w:ascii="Times New Roman" w:hAnsi="Times New Roman" w:cs="Times New Roman" w:eastAsia="Times New Roman"/>
          <w:b w:val="0"/>
          <w:i w:val="0"/>
          <w:sz w:val="22"/>
        </w:rPr>
        <w:t>C.3.3. En el modelo On-Premise, el Contenido del Cliente no sale de la infraestructura de la Contraparte ni se transmite al Licenciante. El Licenciante accede al Contenido del Cliente únicamente cuando la Contraparte solicita soporte, en la medida y por el tiempo necesarios para resolver la incidencia y con conocimiento de aquella.</w:t>
      </w:r>
    </w:p>
    <w:p>
      <w:r>
        <w:rPr>
          <w:rFonts w:ascii="Times New Roman" w:hAnsi="Times New Roman" w:cs="Times New Roman" w:eastAsia="Times New Roman"/>
          <w:b w:val="0"/>
          <w:i w:val="0"/>
          <w:sz w:val="22"/>
        </w:rPr>
        <w:t>C.3.4. La Contraparte garantiza que dispone de todos los derechos necesarios para incorporar el Contenido del Cliente al Software — incluidas documentación técnica, imágenes y objetos captados durante el escaneo de Emplazamientos — y que ello no infringe derechos de terceros.</w:t>
      </w:r>
    </w:p>
    <w:p>
      <w:r>
        <w:rPr>
          <w:rFonts w:ascii="Times New Roman" w:hAnsi="Times New Roman" w:cs="Times New Roman" w:eastAsia="Times New Roman"/>
          <w:b w:val="0"/>
          <w:i w:val="0"/>
          <w:sz w:val="22"/>
        </w:rPr>
        <w:t>C.3.5. El Licenciante no revisa previamente el Contenido del Cliente y no responde de su contenido, licitud ni exactitud.</w:t>
      </w:r>
    </w:p>
    <w:p>
      <w:pPr>
        <w:pStyle w:val="Heading2"/>
        <w:keepNext/>
      </w:pPr>
      <w:r>
        <w:rPr>
          <w:rFonts w:ascii="Times New Roman" w:hAnsi="Times New Roman" w:cs="Times New Roman" w:eastAsia="Times New Roman"/>
          <w:b/>
          <w:i w:val="0"/>
          <w:sz w:val="23"/>
        </w:rPr>
        <w:t>C.4. Titularidad del Software</w:t>
      </w:r>
    </w:p>
    <w:p>
      <w:r>
        <w:rPr>
          <w:rFonts w:ascii="Times New Roman" w:hAnsi="Times New Roman" w:cs="Times New Roman" w:eastAsia="Times New Roman"/>
          <w:b w:val="0"/>
          <w:i w:val="0"/>
          <w:sz w:val="22"/>
        </w:rPr>
        <w:t xml:space="preserve">C.4.1. Los derechos de propiedad intelectual sobre el Software en el territorio cubierto por estas Condiciones — incluidos el sistema de posicionamiento AR Clip VPS, el agente de IA y los modelos entrenados, las interfaces de usuario, la documentación y todas las actualizaciones y mejoras — corresponden a </w:t>
      </w:r>
      <w:r>
        <w:rPr>
          <w:rFonts w:ascii="Times New Roman" w:hAnsi="Times New Roman" w:cs="Times New Roman" w:eastAsia="Times New Roman"/>
          <w:b/>
          <w:i w:val="0"/>
          <w:sz w:val="22"/>
        </w:rPr>
        <w:t>Web-AR.Studio Corp</w:t>
      </w:r>
      <w:r>
        <w:rPr>
          <w:rFonts w:ascii="Times New Roman" w:hAnsi="Times New Roman" w:cs="Times New Roman" w:eastAsia="Times New Roman"/>
          <w:b w:val="0"/>
          <w:i w:val="0"/>
          <w:sz w:val="22"/>
        </w:rPr>
        <w:t>. La suscripción confiere el derecho a utilizarlos; no transmite derecho alguno sobre ellos.</w:t>
      </w:r>
    </w:p>
    <w:p>
      <w:r>
        <w:rPr>
          <w:rFonts w:ascii="Times New Roman" w:hAnsi="Times New Roman" w:cs="Times New Roman" w:eastAsia="Times New Roman"/>
          <w:b w:val="0"/>
          <w:i w:val="0"/>
          <w:sz w:val="22"/>
        </w:rPr>
        <w:t>C.4.2. Toda la propiedad intelectual creada por el Licenciante en el desarrollo del Software, incluida la creada a partir de sugerencias o comentarios de la Contraparte, corresponde al Licenciante. La aportación de comentarios no genera derechos para la Contraparte ni obligación de retribuirlos.</w:t>
      </w:r>
    </w:p>
    <w:p>
      <w:r>
        <w:rPr>
          <w:rFonts w:ascii="Times New Roman" w:hAnsi="Times New Roman" w:cs="Times New Roman" w:eastAsia="Times New Roman"/>
          <w:b w:val="0"/>
          <w:i w:val="0"/>
          <w:sz w:val="22"/>
        </w:rPr>
        <w:t>C.4.3. La lógica desarrollada a medida para la Contraparte (esté incluida en el Plan o se abone por separado) pasa a formar parte del Software y corresponde al Licenciante; la Contraparte obtiene el derecho a utilizarla conforme a estas Condiciones.</w:t>
      </w:r>
    </w:p>
    <w:p>
      <w:r>
        <w:rPr>
          <w:rFonts w:ascii="Times New Roman" w:hAnsi="Times New Roman" w:cs="Times New Roman" w:eastAsia="Times New Roman"/>
          <w:b w:val="0"/>
          <w:i w:val="0"/>
          <w:sz w:val="22"/>
        </w:rPr>
        <w:t>C.4.4. La Contraparte comunicará sin demora al Licenciante cualquier infracción de los derechos sobre el Software de la que tenga conocimiento.</w:t>
      </w:r>
    </w:p>
    <w:p>
      <w:pPr>
        <w:pStyle w:val="Heading2"/>
        <w:keepNext/>
      </w:pPr>
      <w:r>
        <w:rPr>
          <w:rFonts w:ascii="Times New Roman" w:hAnsi="Times New Roman" w:cs="Times New Roman" w:eastAsia="Times New Roman"/>
          <w:b/>
          <w:i w:val="0"/>
          <w:sz w:val="23"/>
        </w:rPr>
        <w:t>C.5. Datos de funcionamiento</w:t>
      </w:r>
    </w:p>
    <w:p>
      <w:r>
        <w:rPr>
          <w:rFonts w:ascii="Times New Roman" w:hAnsi="Times New Roman" w:cs="Times New Roman" w:eastAsia="Times New Roman"/>
          <w:b w:val="0"/>
          <w:i w:val="0"/>
          <w:sz w:val="22"/>
        </w:rPr>
        <w:t xml:space="preserve">C.5.1. El Licenciante puede recabar y utilizar </w:t>
      </w:r>
      <w:r>
        <w:rPr>
          <w:rFonts w:ascii="Times New Roman" w:hAnsi="Times New Roman" w:cs="Times New Roman" w:eastAsia="Times New Roman"/>
          <w:b/>
          <w:i w:val="0"/>
          <w:sz w:val="22"/>
        </w:rPr>
        <w:t>Métricas Agregadas</w:t>
      </w:r>
      <w:r>
        <w:rPr>
          <w:rFonts w:ascii="Times New Roman" w:hAnsi="Times New Roman" w:cs="Times New Roman" w:eastAsia="Times New Roman"/>
          <w:b w:val="0"/>
          <w:i w:val="0"/>
          <w:sz w:val="22"/>
        </w:rPr>
        <w:t xml:space="preserve"> para operar, asegurar, diagnosticar y mejorar el Software. Las Métricas Agregadas no contienen Contenido del Cliente y no permiten identificar a la Contraparte, su Emplazamiento, su equipamiento ni a persona física alguna.</w:t>
      </w:r>
    </w:p>
    <w:p>
      <w:r>
        <w:rPr>
          <w:rFonts w:ascii="Times New Roman" w:hAnsi="Times New Roman" w:cs="Times New Roman" w:eastAsia="Times New Roman"/>
          <w:b w:val="0"/>
          <w:i w:val="0"/>
          <w:sz w:val="22"/>
        </w:rPr>
        <w:t xml:space="preserve">C.5.2. </w:t>
      </w:r>
      <w:r>
        <w:rPr>
          <w:rFonts w:ascii="Times New Roman" w:hAnsi="Times New Roman" w:cs="Times New Roman" w:eastAsia="Times New Roman"/>
          <w:b/>
          <w:i w:val="0"/>
          <w:sz w:val="22"/>
        </w:rPr>
        <w:t>El Licenciante no adquiere ningún otro derecho sobre los datos de la Contraparte.</w:t>
      </w:r>
      <w:r>
        <w:rPr>
          <w:rFonts w:ascii="Times New Roman" w:hAnsi="Times New Roman" w:cs="Times New Roman" w:eastAsia="Times New Roman"/>
          <w:b w:val="0"/>
          <w:i w:val="0"/>
          <w:sz w:val="22"/>
        </w:rPr>
        <w:t xml:space="preserve"> El Contenido del Cliente no se utiliza para entrenar modelos de aprendizaje automático puestos a disposición de terceros sin consentimiento escrito e independiente de la Contraparte.</w:t>
      </w:r>
    </w:p>
    <w:p>
      <w:r>
        <w:rPr>
          <w:rFonts w:ascii="Times New Roman" w:hAnsi="Times New Roman" w:cs="Times New Roman" w:eastAsia="Times New Roman"/>
          <w:b w:val="0"/>
          <w:i w:val="0"/>
          <w:sz w:val="22"/>
        </w:rPr>
        <w:t>C.5.3. En el modelo On-Premise no sale dato alguno de la red de la Contraparte — tampoco Métricas Agregadas — salvo que esta active la correspondiente opción. Una Instancia On-Premise puede funcionar íntegramente sin conexión a internet.</w:t>
      </w:r>
    </w:p>
    <w:p>
      <w:pPr>
        <w:pStyle w:val="Heading2"/>
        <w:keepNext/>
      </w:pPr>
      <w:r>
        <w:rPr>
          <w:rFonts w:ascii="Times New Roman" w:hAnsi="Times New Roman" w:cs="Times New Roman" w:eastAsia="Times New Roman"/>
          <w:b/>
          <w:i w:val="0"/>
          <w:sz w:val="23"/>
        </w:rPr>
        <w:t>C.6. Protección de datos</w:t>
      </w:r>
    </w:p>
    <w:p>
      <w:r>
        <w:rPr>
          <w:rFonts w:ascii="Times New Roman" w:hAnsi="Times New Roman" w:cs="Times New Roman" w:eastAsia="Times New Roman"/>
          <w:b w:val="0"/>
          <w:i w:val="0"/>
          <w:sz w:val="22"/>
        </w:rPr>
        <w:t xml:space="preserve">C.6.1. Respecto de los datos personales tratados en el Software, la Contraparte es </w:t>
      </w:r>
      <w:r>
        <w:rPr>
          <w:rFonts w:ascii="Times New Roman" w:hAnsi="Times New Roman" w:cs="Times New Roman" w:eastAsia="Times New Roman"/>
          <w:b/>
          <w:i w:val="0"/>
          <w:sz w:val="22"/>
        </w:rPr>
        <w:t>responsable del tratamiento</w:t>
      </w:r>
      <w:r>
        <w:rPr>
          <w:rFonts w:ascii="Times New Roman" w:hAnsi="Times New Roman" w:cs="Times New Roman" w:eastAsia="Times New Roman"/>
          <w:b w:val="0"/>
          <w:i w:val="0"/>
          <w:sz w:val="22"/>
        </w:rPr>
        <w:t xml:space="preserve"> y el Licenciante es </w:t>
      </w:r>
      <w:r>
        <w:rPr>
          <w:rFonts w:ascii="Times New Roman" w:hAnsi="Times New Roman" w:cs="Times New Roman" w:eastAsia="Times New Roman"/>
          <w:b/>
          <w:i w:val="0"/>
          <w:sz w:val="22"/>
        </w:rPr>
        <w:t>encargado del tratamiento</w:t>
      </w:r>
      <w:r>
        <w:rPr>
          <w:rFonts w:ascii="Times New Roman" w:hAnsi="Times New Roman" w:cs="Times New Roman" w:eastAsia="Times New Roman"/>
          <w:b w:val="0"/>
          <w:i w:val="0"/>
          <w:sz w:val="22"/>
        </w:rPr>
        <w:t>. Corresponde a la Contraparte la base jurídica del tratamiento, la información a los interesados y la obtención de los consentimientos necesarios.</w:t>
      </w:r>
    </w:p>
    <w:p>
      <w:r>
        <w:rPr>
          <w:rFonts w:ascii="Times New Roman" w:hAnsi="Times New Roman" w:cs="Times New Roman" w:eastAsia="Times New Roman"/>
          <w:b w:val="0"/>
          <w:i w:val="0"/>
          <w:sz w:val="22"/>
        </w:rPr>
        <w:t xml:space="preserve">C.6.2. En el modelo de Nube Gestionada, el Licenciante trata los datos personales únicamente conforme a instrucciones documentadas de la Contraparte, en los términos del </w:t>
      </w:r>
      <w:r>
        <w:rPr>
          <w:rFonts w:ascii="Times New Roman" w:hAnsi="Times New Roman" w:cs="Times New Roman" w:eastAsia="Times New Roman"/>
          <w:b/>
          <w:i w:val="0"/>
          <w:sz w:val="22"/>
        </w:rPr>
        <w:t>Acuerdo de Encargo de Tratamiento del Anexo 4</w:t>
      </w:r>
      <w:r>
        <w:rPr>
          <w:rFonts w:ascii="Times New Roman" w:hAnsi="Times New Roman" w:cs="Times New Roman" w:eastAsia="Times New Roman"/>
          <w:b w:val="0"/>
          <w:i w:val="0"/>
          <w:sz w:val="22"/>
        </w:rPr>
        <w:t>, que forma parte de estas Condiciones y cumple el artículo 28 del Reglamento (UE) 2016/679 (RGPD) y los requisitos equivalentes del RGPD del Reino Unido.</w:t>
      </w:r>
    </w:p>
    <w:p>
      <w:r>
        <w:rPr>
          <w:rFonts w:ascii="Times New Roman" w:hAnsi="Times New Roman" w:cs="Times New Roman" w:eastAsia="Times New Roman"/>
          <w:b w:val="0"/>
          <w:i w:val="0"/>
          <w:sz w:val="22"/>
        </w:rPr>
        <w:t>C.6.3. En el modelo On-Premise no se transmiten datos personales al Licenciante y el Anexo 4 se aplica únicamente al acceso de soporte concedido conforme a la cláusula C.3.3.</w:t>
      </w:r>
    </w:p>
    <w:p>
      <w:r>
        <w:rPr>
          <w:rFonts w:ascii="Times New Roman" w:hAnsi="Times New Roman" w:cs="Times New Roman" w:eastAsia="Times New Roman"/>
          <w:b w:val="0"/>
          <w:i w:val="0"/>
          <w:sz w:val="22"/>
        </w:rPr>
        <w:t>C.6.4. Las transferencias internacionales, cuando se produzcan, se realizan al amparo de un mecanismo de transferencia admitido conforme al Anexo 4, incluidas las Cláusulas Contractuales Tipo de la UE y, cuando proceda, el UK International Data Transfer Addendum.</w:t>
      </w:r>
    </w:p>
    <w:p>
      <w:r>
        <w:rPr>
          <w:rFonts w:ascii="Times New Roman" w:hAnsi="Times New Roman" w:cs="Times New Roman" w:eastAsia="Times New Roman"/>
          <w:b w:val="0"/>
          <w:i w:val="0"/>
          <w:sz w:val="22"/>
        </w:rPr>
        <w:t>C.6.5. Cuando la Contraparte esté sujeta a exigencias de localización de datos, la región de alojamiento aplicable se indica en el Formulario de Pedido y en el Anexo 4.</w:t>
      </w:r>
    </w:p>
    <w:p>
      <w:r>
        <w:rPr>
          <w:rFonts w:ascii="Times New Roman" w:hAnsi="Times New Roman" w:cs="Times New Roman" w:eastAsia="Times New Roman"/>
          <w:b w:val="0"/>
          <w:i w:val="0"/>
          <w:sz w:val="22"/>
        </w:rPr>
        <w:t>C.6.6. La Contraparte deberá comunicar por escrito al Licenciante, con carácter previo, el tratamiento en el Software de categorías especiales de datos personales o de datos biométricos. A falta de tal comunicación, el Licenciante actuará sobre la base de que no se tratan tales datos.</w:t>
      </w:r>
    </w:p>
    <w:p>
      <w:pPr>
        <w:pStyle w:val="Heading2"/>
        <w:keepNext/>
      </w:pPr>
      <w:r>
        <w:rPr>
          <w:rFonts w:ascii="Times New Roman" w:hAnsi="Times New Roman" w:cs="Times New Roman" w:eastAsia="Times New Roman"/>
          <w:b/>
          <w:i w:val="0"/>
          <w:sz w:val="23"/>
        </w:rPr>
        <w:t>C.7. Confidencialidad</w:t>
      </w:r>
    </w:p>
    <w:p>
      <w:r>
        <w:rPr>
          <w:rFonts w:ascii="Times New Roman" w:hAnsi="Times New Roman" w:cs="Times New Roman" w:eastAsia="Times New Roman"/>
          <w:b w:val="0"/>
          <w:i w:val="0"/>
          <w:sz w:val="22"/>
        </w:rPr>
        <w:t xml:space="preserve">C.7.1. Se entiende por </w:t>
      </w:r>
      <w:r>
        <w:rPr>
          <w:rFonts w:ascii="Times New Roman" w:hAnsi="Times New Roman" w:cs="Times New Roman" w:eastAsia="Times New Roman"/>
          <w:b/>
          <w:i w:val="0"/>
          <w:sz w:val="22"/>
        </w:rPr>
        <w:t>Información Confidencial</w:t>
      </w:r>
      <w:r>
        <w:rPr>
          <w:rFonts w:ascii="Times New Roman" w:hAnsi="Times New Roman" w:cs="Times New Roman" w:eastAsia="Times New Roman"/>
          <w:b w:val="0"/>
          <w:i w:val="0"/>
          <w:sz w:val="22"/>
        </w:rPr>
        <w:t xml:space="preserve"> la información que una parte revela a la otra en relación con estas Condiciones y que está identificada como confidencial o lo es manifiestamente por su naturaleza, incluidos el Contenido del Cliente, la arquitectura técnica del Software, los resultados de pruebas y evaluaciones comparativas, las condiciones comerciales y descuentos negociados y la información sobre Emplazamientos y procesos productivos.</w:t>
      </w:r>
    </w:p>
    <w:p>
      <w:r>
        <w:rPr>
          <w:rFonts w:ascii="Times New Roman" w:hAnsi="Times New Roman" w:cs="Times New Roman" w:eastAsia="Times New Roman"/>
          <w:b w:val="0"/>
          <w:i w:val="0"/>
          <w:sz w:val="22"/>
        </w:rPr>
        <w:t>C.7.2. La parte receptora no revelará Información Confidencial a terceros sin consentimiento escrito, la utilizará únicamente para ejecutar el contrato y la protegerá con una diligencia no inferior a la aplicada a su propia información confidencial y, en todo caso, con diligencia razonable.</w:t>
      </w:r>
    </w:p>
    <w:p>
      <w:r>
        <w:rPr>
          <w:rFonts w:ascii="Times New Roman" w:hAnsi="Times New Roman" w:cs="Times New Roman" w:eastAsia="Times New Roman"/>
          <w:b w:val="0"/>
          <w:i w:val="0"/>
          <w:sz w:val="22"/>
        </w:rPr>
        <w:t>C.7.3. Se permite la revelación a empleados, asesores y contratistas sujetos a obligaciones de confidencialidad equivalentes, según el principio de necesidad de conocer; así como cuando lo exija la ley o una autoridad competente, siempre que se comunique previamente a la parte reveladora, salvo prohibición legal.</w:t>
      </w:r>
    </w:p>
    <w:p>
      <w:r>
        <w:rPr>
          <w:rFonts w:ascii="Times New Roman" w:hAnsi="Times New Roman" w:cs="Times New Roman" w:eastAsia="Times New Roman"/>
          <w:b w:val="0"/>
          <w:i w:val="0"/>
          <w:sz w:val="22"/>
        </w:rPr>
        <w:t>C.7.4. Las obligaciones de confidencialidad subsisten durante cinco (5) años tras la extinción del contrato y, respecto de los secretos empresariales, de forma indefinida mientras conserven tal condición.</w:t>
      </w:r>
    </w:p>
    <w:p>
      <w:r>
        <w:rPr>
          <w:rFonts w:ascii="Times New Roman" w:hAnsi="Times New Roman" w:cs="Times New Roman" w:eastAsia="Times New Roman"/>
          <w:b w:val="0"/>
          <w:i w:val="0"/>
          <w:sz w:val="22"/>
        </w:rPr>
        <w:t xml:space="preserve">C.7.5. El Licenciante podrá mencionar el nombre y el logotipo de la Contraparte en listados de clientes o socios </w:t>
      </w:r>
      <w:r>
        <w:rPr>
          <w:rFonts w:ascii="Times New Roman" w:hAnsi="Times New Roman" w:cs="Times New Roman" w:eastAsia="Times New Roman"/>
          <w:b/>
          <w:i w:val="0"/>
          <w:sz w:val="22"/>
        </w:rPr>
        <w:t>únicamente con su consentimiento previo y por escrito</w:t>
      </w:r>
      <w:r>
        <w:rPr>
          <w:rFonts w:ascii="Times New Roman" w:hAnsi="Times New Roman" w:cs="Times New Roman" w:eastAsia="Times New Roman"/>
          <w:b w:val="0"/>
          <w:i w:val="0"/>
          <w:sz w:val="22"/>
        </w:rPr>
        <w:t>, revocable en cualquier momento.</w:t>
      </w:r>
    </w:p>
    <w:p>
      <w:pPr>
        <w:pStyle w:val="Heading2"/>
        <w:keepNext/>
      </w:pPr>
      <w:r>
        <w:rPr>
          <w:rFonts w:ascii="Times New Roman" w:hAnsi="Times New Roman" w:cs="Times New Roman" w:eastAsia="Times New Roman"/>
          <w:b/>
          <w:i w:val="0"/>
          <w:sz w:val="23"/>
        </w:rPr>
        <w:t>C.8. Declaraciones y limitaciones expresamente divulgadas</w:t>
      </w:r>
    </w:p>
    <w:p>
      <w:r>
        <w:rPr>
          <w:rFonts w:ascii="Times New Roman" w:hAnsi="Times New Roman" w:cs="Times New Roman" w:eastAsia="Times New Roman"/>
          <w:b w:val="0"/>
          <w:i w:val="0"/>
          <w:sz w:val="22"/>
        </w:rPr>
        <w:t>C.8.1. El Licenciante declara que es titular de los derechos otorgados conforme a estas Condiciones o está facultado para otorgarlos, que su otorgamiento no infringe derechos de terceros y que el Software no contiene funcionalidades no divulgadas destinadas a destruir, bloquear, modificar o copiar datos de la Contraparte sin autorización.</w:t>
      </w:r>
    </w:p>
    <w:p>
      <w:r>
        <w:rPr>
          <w:rFonts w:ascii="Times New Roman" w:hAnsi="Times New Roman" w:cs="Times New Roman" w:eastAsia="Times New Roman"/>
          <w:b w:val="0"/>
          <w:i w:val="0"/>
          <w:sz w:val="22"/>
        </w:rPr>
        <w:t>C.8.2. La Contraparte declara que está debidamente constituida y vigente, que la persona que aceptó tenía poder suficiente, que no está incursa en procedimiento concursal y que la información de su Formulario de Pedido es exacta.</w:t>
      </w:r>
    </w:p>
    <w:p>
      <w:r>
        <w:rPr>
          <w:rFonts w:ascii="Times New Roman" w:hAnsi="Times New Roman" w:cs="Times New Roman" w:eastAsia="Times New Roman"/>
          <w:b w:val="0"/>
          <w:i w:val="0"/>
          <w:sz w:val="22"/>
        </w:rPr>
        <w:t xml:space="preserve">C.8.3. </w:t>
      </w:r>
      <w:r>
        <w:rPr>
          <w:rFonts w:ascii="Times New Roman" w:hAnsi="Times New Roman" w:cs="Times New Roman" w:eastAsia="Times New Roman"/>
          <w:b/>
          <w:i w:val="0"/>
          <w:sz w:val="22"/>
        </w:rPr>
        <w:t>Certificaciones no obtenidas.</w:t>
      </w:r>
      <w:r>
        <w:rPr>
          <w:rFonts w:ascii="Times New Roman" w:hAnsi="Times New Roman" w:cs="Times New Roman" w:eastAsia="Times New Roman"/>
          <w:b w:val="0"/>
          <w:i w:val="0"/>
          <w:sz w:val="22"/>
        </w:rPr>
        <w:t xml:space="preserve"> El Licenciante manifiesta expresamente que, a la fecha de esta versión, el Software </w:t>
      </w:r>
      <w:r>
        <w:rPr>
          <w:rFonts w:ascii="Times New Roman" w:hAnsi="Times New Roman" w:cs="Times New Roman" w:eastAsia="Times New Roman"/>
          <w:b/>
          <w:i w:val="0"/>
          <w:sz w:val="22"/>
        </w:rPr>
        <w:t>no cuenta</w:t>
      </w:r>
      <w:r>
        <w:rPr>
          <w:rFonts w:ascii="Times New Roman" w:hAnsi="Times New Roman" w:cs="Times New Roman" w:eastAsia="Times New Roman"/>
          <w:b w:val="0"/>
          <w:i w:val="0"/>
          <w:sz w:val="22"/>
        </w:rPr>
        <w:t xml:space="preserve"> con las siguientes ni el Licenciante las </w:t>
      </w:r>
      <w:r>
        <w:rPr>
          <w:rFonts w:ascii="Times New Roman" w:hAnsi="Times New Roman" w:cs="Times New Roman" w:eastAsia="Times New Roman"/>
          <w:b/>
          <w:i w:val="0"/>
          <w:sz w:val="22"/>
        </w:rPr>
        <w:t>invoca</w:t>
      </w:r>
      <w:r>
        <w:rPr>
          <w:rFonts w:ascii="Times New Roman" w:hAnsi="Times New Roman" w:cs="Times New Roman" w:eastAsia="Times New Roman"/>
          <w:b w:val="0"/>
          <w:i w:val="0"/>
          <w:sz w:val="22"/>
        </w:rPr>
        <w:t>: informe SOC 2 (Type I o Type II); certificación ISO/IEC 27001; paquete de validación conforme a 21 CFR Part 11 o GAMP 5; informe publicado de pruebas de intrusión realizadas por un tercero. La Contraparte confirma que conoce esta circunstancia y que no ha confiado en la existencia de tales certificaciones al celebrar el contrato. La validación de los procesos en los que se emplea el Software sigue correspondiendo a la Contraparte; el Software registra la actividad de usuarios y del sistema y realiza el seguimiento de la ejecución de procedimientos, lo que respalda esa labor pero no la sustituye.</w:t>
      </w:r>
    </w:p>
    <w:p>
      <w:r>
        <w:rPr>
          <w:rFonts w:ascii="Times New Roman" w:hAnsi="Times New Roman" w:cs="Times New Roman" w:eastAsia="Times New Roman"/>
          <w:b w:val="0"/>
          <w:i w:val="0"/>
          <w:sz w:val="22"/>
        </w:rPr>
        <w:t xml:space="preserve">C.8.4. </w:t>
      </w:r>
      <w:r>
        <w:rPr>
          <w:rFonts w:ascii="Times New Roman" w:hAnsi="Times New Roman" w:cs="Times New Roman" w:eastAsia="Times New Roman"/>
          <w:b/>
          <w:i w:val="0"/>
          <w:sz w:val="22"/>
        </w:rPr>
        <w:t>Destino del Software.</w:t>
      </w:r>
      <w:r>
        <w:rPr>
          <w:rFonts w:ascii="Times New Roman" w:hAnsi="Times New Roman" w:cs="Times New Roman" w:eastAsia="Times New Roman"/>
          <w:b w:val="0"/>
          <w:i w:val="0"/>
          <w:sz w:val="22"/>
        </w:rPr>
        <w:t xml:space="preserve"> ARSY AI es una herramienta de guiado y formación. </w:t>
      </w:r>
      <w:r>
        <w:rPr>
          <w:rFonts w:ascii="Times New Roman" w:hAnsi="Times New Roman" w:cs="Times New Roman" w:eastAsia="Times New Roman"/>
          <w:b/>
          <w:i w:val="0"/>
          <w:sz w:val="22"/>
        </w:rPr>
        <w:t>No es un sistema instrumentado de seguridad, ni un sistema de control de procesos, ni un sistema de parada de emergencia, ni un producto sanitario, y no debe emplearse como base única de decisión en situaciones en las que un fallo pueda causar la muerte, lesiones personales, daño ambiental o daño material.</w:t>
      </w:r>
      <w:r>
        <w:rPr>
          <w:rFonts w:ascii="Times New Roman" w:hAnsi="Times New Roman" w:cs="Times New Roman" w:eastAsia="Times New Roman"/>
          <w:b w:val="0"/>
          <w:i w:val="0"/>
          <w:sz w:val="22"/>
        </w:rPr>
        <w:t xml:space="preserve"> El uso del Software no exonera a la Contraparte de sus propias obligaciones en materia de prevención de riesgos laborales, seguridad industrial, supervisión cualificada y cumplimiento normativo.</w:t>
      </w:r>
    </w:p>
    <w:p>
      <w:pPr>
        <w:pStyle w:val="Heading2"/>
        <w:keepNext/>
      </w:pPr>
      <w:r>
        <w:rPr>
          <w:rFonts w:ascii="Times New Roman" w:hAnsi="Times New Roman" w:cs="Times New Roman" w:eastAsia="Times New Roman"/>
          <w:b/>
          <w:i w:val="0"/>
          <w:sz w:val="23"/>
        </w:rPr>
        <w:t>C.9. Garantías y exclusión</w:t>
      </w:r>
    </w:p>
    <w:p>
      <w:r>
        <w:rPr>
          <w:rFonts w:ascii="Times New Roman" w:hAnsi="Times New Roman" w:cs="Times New Roman" w:eastAsia="Times New Roman"/>
          <w:b w:val="0"/>
          <w:i w:val="0"/>
          <w:sz w:val="22"/>
        </w:rPr>
        <w:t>C.9.1. El Licenciante garantiza que el Software funcionará sustancialmente conforme a la documentación oficial, siempre que la Contraparte cumpla los requisitos de infraestructura del Anexo 5 y las instrucciones de operación.</w:t>
      </w:r>
    </w:p>
    <w:p>
      <w:r>
        <w:rPr>
          <w:rFonts w:ascii="Times New Roman" w:hAnsi="Times New Roman" w:cs="Times New Roman" w:eastAsia="Times New Roman"/>
          <w:b w:val="0"/>
          <w:i w:val="0"/>
          <w:sz w:val="22"/>
        </w:rPr>
        <w:t xml:space="preserve">C.9.2. </w:t>
      </w:r>
      <w:r>
        <w:rPr>
          <w:rFonts w:ascii="Times New Roman" w:hAnsi="Times New Roman" w:cs="Times New Roman" w:eastAsia="Times New Roman"/>
          <w:b/>
          <w:i w:val="0"/>
          <w:sz w:val="22"/>
        </w:rPr>
        <w:t>Salvo lo expresamente establecido en estas Condiciones, el Software se suministra «tal cual» y el Licenciante excluye cualquier otra garantía, expresa, implícita o legal, incluidas las garantías implícitas de comerciabilidad, calidad satisfactoria, idoneidad para un fin determinado y no infracción, en la máxima medida permitida por la ley.</w:t>
      </w:r>
      <w:r>
        <w:rPr>
          <w:rFonts w:ascii="Times New Roman" w:hAnsi="Times New Roman" w:cs="Times New Roman" w:eastAsia="Times New Roman"/>
          <w:b w:val="0"/>
          <w:i w:val="0"/>
          <w:sz w:val="22"/>
        </w:rPr>
        <w:t xml:space="preserve"> El Licenciante no garantiza un funcionamiento ininterrumpido o libre de errores, ni que el Software satisfaga las expectativas subjetivas de la Contraparte, ni la obtención de un resultado comercial u operativo determinado, ni el correcto funcionamiento sobre equipamiento que no cumpla el Anexo 5 o cuando la Instancia haya sido reconfigurada sin acuerdo del Licenciante.</w:t>
      </w:r>
    </w:p>
    <w:p>
      <w:r>
        <w:rPr>
          <w:rFonts w:ascii="Times New Roman" w:hAnsi="Times New Roman" w:cs="Times New Roman" w:eastAsia="Times New Roman"/>
          <w:b w:val="0"/>
          <w:i w:val="0"/>
          <w:sz w:val="22"/>
        </w:rPr>
        <w:t xml:space="preserve">C.9.3. </w:t>
      </w:r>
      <w:r>
        <w:rPr>
          <w:rFonts w:ascii="Times New Roman" w:hAnsi="Times New Roman" w:cs="Times New Roman" w:eastAsia="Times New Roman"/>
          <w:b/>
          <w:i w:val="0"/>
          <w:sz w:val="22"/>
        </w:rPr>
        <w:t>Las salidas del agente de IA tienen carácter orientativo y deben ser verificadas por la Contraparte.</w:t>
      </w:r>
      <w:r>
        <w:rPr>
          <w:rFonts w:ascii="Times New Roman" w:hAnsi="Times New Roman" w:cs="Times New Roman" w:eastAsia="Times New Roman"/>
          <w:b w:val="0"/>
          <w:i w:val="0"/>
          <w:sz w:val="22"/>
        </w:rPr>
        <w:t xml:space="preserve"> El Licenciante no garantiza la integridad, exactitud ni idoneidad de las respuestas generadas por modelos de aprendizaje automático, incluidas las derivadas de documentación cargada por la Contraparte. Las decisiones adoptadas sobre la base de tales salidas son responsabilidad de la Contraparte.</w:t>
      </w:r>
    </w:p>
    <w:p>
      <w:r>
        <w:rPr>
          <w:rFonts w:ascii="Times New Roman" w:hAnsi="Times New Roman" w:cs="Times New Roman" w:eastAsia="Times New Roman"/>
          <w:b w:val="0"/>
          <w:i w:val="0"/>
          <w:sz w:val="22"/>
        </w:rPr>
        <w:t>C.9.4. Las estimaciones y calculadoras, incluidas las cifras de retorno de la inversión publicadas en arsy.ai, son ilustrativas, se basan en datos promediados y no constituyen garantía de resultado.</w:t>
      </w:r>
    </w:p>
    <w:p>
      <w:pPr>
        <w:pStyle w:val="Heading2"/>
        <w:keepNext/>
      </w:pPr>
      <w:r>
        <w:rPr>
          <w:rFonts w:ascii="Times New Roman" w:hAnsi="Times New Roman" w:cs="Times New Roman" w:eastAsia="Times New Roman"/>
          <w:b/>
          <w:i w:val="0"/>
          <w:sz w:val="23"/>
        </w:rPr>
        <w:t>C.10. Responsabilidad</w:t>
      </w:r>
    </w:p>
    <w:p>
      <w:r>
        <w:rPr>
          <w:rFonts w:ascii="Times New Roman" w:hAnsi="Times New Roman" w:cs="Times New Roman" w:eastAsia="Times New Roman"/>
          <w:b w:val="0"/>
          <w:i w:val="0"/>
          <w:sz w:val="22"/>
        </w:rPr>
        <w:t xml:space="preserve">C.10.1. </w:t>
      </w:r>
      <w:r>
        <w:rPr>
          <w:rFonts w:ascii="Times New Roman" w:hAnsi="Times New Roman" w:cs="Times New Roman" w:eastAsia="Times New Roman"/>
          <w:b/>
          <w:i w:val="0"/>
          <w:sz w:val="22"/>
        </w:rPr>
        <w:t>Límite de responsabilidad.</w:t>
      </w:r>
      <w:r>
        <w:rPr>
          <w:rFonts w:ascii="Times New Roman" w:hAnsi="Times New Roman" w:cs="Times New Roman" w:eastAsia="Times New Roman"/>
          <w:b w:val="0"/>
          <w:i w:val="0"/>
          <w:sz w:val="22"/>
        </w:rPr>
        <w:t xml:space="preserve"> La responsabilidad total agregada del Licenciante derivada del contrato o relacionada con él, ya sea contractual, extracontractual (incluida la negligencia), por incumplimiento de deberes legales o de otro modo, respecto de todos los eventos ocurridos en cualquier período de doce (12) meses consecutivos, se limita a </w:t>
      </w:r>
      <w:r>
        <w:rPr>
          <w:rFonts w:ascii="Times New Roman" w:hAnsi="Times New Roman" w:cs="Times New Roman" w:eastAsia="Times New Roman"/>
          <w:b/>
          <w:i w:val="0"/>
          <w:sz w:val="22"/>
        </w:rPr>
        <w:t>la contraprestación efectivamente abonada por la Contraparte al Licenciante en virtud del contrato durante los doce (12) meses anteriores al evento generador de la responsabilidad.</w:t>
      </w:r>
    </w:p>
    <w:p>
      <w:r>
        <w:rPr>
          <w:rFonts w:ascii="Times New Roman" w:hAnsi="Times New Roman" w:cs="Times New Roman" w:eastAsia="Times New Roman"/>
          <w:b w:val="0"/>
          <w:i w:val="0"/>
          <w:sz w:val="22"/>
        </w:rPr>
        <w:t xml:space="preserve">C.10.2. </w:t>
      </w:r>
      <w:r>
        <w:rPr>
          <w:rFonts w:ascii="Times New Roman" w:hAnsi="Times New Roman" w:cs="Times New Roman" w:eastAsia="Times New Roman"/>
          <w:b/>
          <w:i w:val="0"/>
          <w:sz w:val="22"/>
        </w:rPr>
        <w:t>Daños excluidos.</w:t>
      </w:r>
      <w:r>
        <w:rPr>
          <w:rFonts w:ascii="Times New Roman" w:hAnsi="Times New Roman" w:cs="Times New Roman" w:eastAsia="Times New Roman"/>
          <w:b w:val="0"/>
          <w:i w:val="0"/>
          <w:sz w:val="22"/>
        </w:rPr>
        <w:t xml:space="preserve"> El Licenciante no responde del lucro cesante, la pérdida de ingresos, el daño reputacional, los daños derivados de la paralización de la producción, ni la pérdida o corrupción de datos (salvo cuando se deba al incumplimiento por el Licenciante de una obligación de copia de seguridad expresamente asumida en el Anexo 3), ni de daños indirectos o consecuenciales, con independencia de que se le hubiera advertido de su posibilidad.</w:t>
      </w:r>
    </w:p>
    <w:p>
      <w:r>
        <w:rPr>
          <w:rFonts w:ascii="Times New Roman" w:hAnsi="Times New Roman" w:cs="Times New Roman" w:eastAsia="Times New Roman"/>
          <w:b w:val="0"/>
          <w:i w:val="0"/>
          <w:sz w:val="22"/>
        </w:rPr>
        <w:t xml:space="preserve">C.10.3. Las cláusulas C.10.1 y C.10.2 </w:t>
      </w:r>
      <w:r>
        <w:rPr>
          <w:rFonts w:ascii="Times New Roman" w:hAnsi="Times New Roman" w:cs="Times New Roman" w:eastAsia="Times New Roman"/>
          <w:b/>
          <w:i w:val="0"/>
          <w:sz w:val="22"/>
        </w:rPr>
        <w:t>no</w:t>
      </w:r>
      <w:r>
        <w:rPr>
          <w:rFonts w:ascii="Times New Roman" w:hAnsi="Times New Roman" w:cs="Times New Roman" w:eastAsia="Times New Roman"/>
          <w:b w:val="0"/>
          <w:i w:val="0"/>
          <w:sz w:val="22"/>
        </w:rPr>
        <w:t xml:space="preserve"> limitan la responsabilidad por: muerte o lesiones personales causadas por negligencia; dolo o declaraciones dolosas; incumplimiento de las obligaciones de confidencialidad; infracción de los derechos de propiedad intelectual de la otra parte; conducta dolosa; la obligación de pago de la Contraparte; ni cualquier responsabilidad que legalmente no pueda limitarse.</w:t>
      </w:r>
    </w:p>
    <w:p>
      <w:r>
        <w:rPr>
          <w:rFonts w:ascii="Times New Roman" w:hAnsi="Times New Roman" w:cs="Times New Roman" w:eastAsia="Times New Roman"/>
          <w:b w:val="0"/>
          <w:i w:val="0"/>
          <w:sz w:val="22"/>
        </w:rPr>
        <w:t xml:space="preserve">C.10.4. </w:t>
      </w:r>
      <w:r>
        <w:rPr>
          <w:rFonts w:ascii="Times New Roman" w:hAnsi="Times New Roman" w:cs="Times New Roman" w:eastAsia="Times New Roman"/>
          <w:b/>
          <w:i w:val="0"/>
          <w:sz w:val="22"/>
        </w:rPr>
        <w:t>Indemnidad por infracción de propiedad intelectual.</w:t>
      </w:r>
      <w:r>
        <w:rPr>
          <w:rFonts w:ascii="Times New Roman" w:hAnsi="Times New Roman" w:cs="Times New Roman" w:eastAsia="Times New Roman"/>
          <w:b w:val="0"/>
          <w:i w:val="0"/>
          <w:sz w:val="22"/>
        </w:rPr>
        <w:t xml:space="preserve"> El Licenciante defenderá a la Contraparte frente a reclamaciones de terceros que sostengan que el uso del Software conforme al contrato infringe sus derechos de propiedad intelectual, y abonará las indemnizaciones firmes y los costes legales razonables, siempre que la Contraparte (a) le informe sin demora y en todo caso dentro de diez (10) días hábiles, (b) le atribuya el control exclusivo de la defensa y de la transacción y (c) preste asistencia razonable a costa del Licenciante. Esta indemnidad no se aplica a reclamaciones derivadas del uso del Software en contravención del contrato, de su modificación por persona distinta del Licenciante, del Contenido del Cliente o de su combinación con productos de terceros no aprobados por el Licenciante. Si el Software resultara objeto de tal reclamación, o a juicio del Licenciante fuera probable que lo resultara, este podrá, a su elección, obtener el derecho a continuar el uso, sustituir o modificar el Software, o resolver el contrato reembolsando la contraprestación correspondiente a la parte no utilizada del Período de Facturación abonado. </w:t>
      </w:r>
      <w:r>
        <w:rPr>
          <w:rFonts w:ascii="Times New Roman" w:hAnsi="Times New Roman" w:cs="Times New Roman" w:eastAsia="Times New Roman"/>
          <w:b/>
          <w:i w:val="0"/>
          <w:sz w:val="22"/>
        </w:rPr>
        <w:t>Esta cláusula agota la responsabilidad del Licenciante y el remedio de la Contraparte por infracción de propiedad intelectual.</w:t>
      </w:r>
    </w:p>
    <w:p>
      <w:r>
        <w:rPr>
          <w:rFonts w:ascii="Times New Roman" w:hAnsi="Times New Roman" w:cs="Times New Roman" w:eastAsia="Times New Roman"/>
          <w:b w:val="0"/>
          <w:i w:val="0"/>
          <w:sz w:val="22"/>
        </w:rPr>
        <w:t xml:space="preserve">C.10.5. </w:t>
      </w:r>
      <w:r>
        <w:rPr>
          <w:rFonts w:ascii="Times New Roman" w:hAnsi="Times New Roman" w:cs="Times New Roman" w:eastAsia="Times New Roman"/>
          <w:b/>
          <w:i w:val="0"/>
          <w:sz w:val="22"/>
        </w:rPr>
        <w:t>Indemnidad de la Contraparte.</w:t>
      </w:r>
      <w:r>
        <w:rPr>
          <w:rFonts w:ascii="Times New Roman" w:hAnsi="Times New Roman" w:cs="Times New Roman" w:eastAsia="Times New Roman"/>
          <w:b w:val="0"/>
          <w:i w:val="0"/>
          <w:sz w:val="22"/>
        </w:rPr>
        <w:t xml:space="preserve"> La Contraparte mantendrá indemne al Licenciante frente a reclamaciones de terceros (incluidos interesados y titulares de derechos) derivadas del Contenido del Cliente o del incumplimiento de las cláusulas C.3.4 o C.6.1.</w:t>
      </w:r>
    </w:p>
    <w:p>
      <w:r>
        <w:rPr>
          <w:rFonts w:ascii="Times New Roman" w:hAnsi="Times New Roman" w:cs="Times New Roman" w:eastAsia="Times New Roman"/>
          <w:b w:val="0"/>
          <w:i w:val="0"/>
          <w:sz w:val="22"/>
        </w:rPr>
        <w:t xml:space="preserve">C.10.6. </w:t>
      </w:r>
      <w:r>
        <w:rPr>
          <w:rFonts w:ascii="Times New Roman" w:hAnsi="Times New Roman" w:cs="Times New Roman" w:eastAsia="Times New Roman"/>
          <w:b/>
          <w:i w:val="0"/>
          <w:sz w:val="22"/>
        </w:rPr>
        <w:t>Fuerza mayor.</w:t>
      </w:r>
      <w:r>
        <w:rPr>
          <w:rFonts w:ascii="Times New Roman" w:hAnsi="Times New Roman" w:cs="Times New Roman" w:eastAsia="Times New Roman"/>
          <w:b w:val="0"/>
          <w:i w:val="0"/>
          <w:sz w:val="22"/>
        </w:rPr>
        <w:t xml:space="preserve"> Ninguna parte responde del incumplimiento (salvo de obligaciones de pago) causado por hechos ajenos a su control razonable, incluidos catástrofes naturales, guerra, disturbios civiles, epidemias, actos de autoridad pública que prohíban el cumplimiento, fallos a gran escala de la infraestructura troncal de internet y ciberataques a gran escala sobre infraestructura ajena al control de esa parte. La parte afectada lo comunicará a la otra en el plazo de diez (10) días hábiles. Si el hecho se prolonga más de tres (3) meses, cualquiera de las partes podrá resolver, liquidando el período efectivamente prestado.</w:t>
      </w:r>
    </w:p>
    <w:p>
      <w:pPr>
        <w:pStyle w:val="Heading2"/>
        <w:keepNext/>
      </w:pPr>
      <w:r>
        <w:rPr>
          <w:rFonts w:ascii="Times New Roman" w:hAnsi="Times New Roman" w:cs="Times New Roman" w:eastAsia="Times New Roman"/>
          <w:b/>
          <w:i w:val="0"/>
          <w:sz w:val="23"/>
        </w:rPr>
        <w:t>C.11. Consecuencias de la finalización de la Suscripción</w:t>
      </w:r>
    </w:p>
    <w:p>
      <w:r>
        <w:rPr>
          <w:rFonts w:ascii="Times New Roman" w:hAnsi="Times New Roman" w:cs="Times New Roman" w:eastAsia="Times New Roman"/>
          <w:b w:val="0"/>
          <w:i w:val="0"/>
          <w:sz w:val="22"/>
        </w:rPr>
        <w:t>C.11.1. La titularidad del Contenido del Cliente no depende de una Suscripción vigente y no se extingue en ningún momento.</w:t>
      </w:r>
    </w:p>
    <w:p>
      <w:r>
        <w:rPr>
          <w:rFonts w:ascii="Times New Roman" w:hAnsi="Times New Roman" w:cs="Times New Roman" w:eastAsia="Times New Roman"/>
          <w:b w:val="0"/>
          <w:i w:val="0"/>
          <w:sz w:val="22"/>
        </w:rPr>
        <w:t xml:space="preserve">C.11.2. Al finalizar el Plazo de Licencia — incluso por impago — cesa el </w:t>
      </w:r>
      <w:r>
        <w:rPr>
          <w:rFonts w:ascii="Times New Roman" w:hAnsi="Times New Roman" w:cs="Times New Roman" w:eastAsia="Times New Roman"/>
          <w:b/>
          <w:i w:val="0"/>
          <w:sz w:val="22"/>
        </w:rPr>
        <w:t>acceso</w:t>
      </w:r>
      <w:r>
        <w:rPr>
          <w:rFonts w:ascii="Times New Roman" w:hAnsi="Times New Roman" w:cs="Times New Roman" w:eastAsia="Times New Roman"/>
          <w:b w:val="0"/>
          <w:i w:val="0"/>
          <w:sz w:val="22"/>
        </w:rPr>
        <w:t xml:space="preserve"> al Software y a las funciones que operan sobre el Contenido del Cliente. El Contenido del Cliente no se elimina en ese momento.</w:t>
      </w:r>
    </w:p>
    <w:p>
      <w:r>
        <w:rPr>
          <w:rFonts w:ascii="Times New Roman" w:hAnsi="Times New Roman" w:cs="Times New Roman" w:eastAsia="Times New Roman"/>
          <w:b w:val="0"/>
          <w:i w:val="0"/>
          <w:sz w:val="22"/>
        </w:rPr>
        <w:t xml:space="preserve">C.11.3. </w:t>
      </w:r>
      <w:r>
        <w:rPr>
          <w:rFonts w:ascii="Times New Roman" w:hAnsi="Times New Roman" w:cs="Times New Roman" w:eastAsia="Times New Roman"/>
          <w:b/>
          <w:i w:val="0"/>
          <w:sz w:val="22"/>
        </w:rPr>
        <w:t>Durante noventa (90) días desde la finalización del Plazo de Licencia</w:t>
      </w:r>
      <w:r>
        <w:rPr>
          <w:rFonts w:ascii="Times New Roman" w:hAnsi="Times New Roman" w:cs="Times New Roman" w:eastAsia="Times New Roman"/>
          <w:b w:val="0"/>
          <w:i w:val="0"/>
          <w:sz w:val="22"/>
        </w:rPr>
        <w:t>, la Contraparte podrá obtener una exportación del Contenido del Cliente en formatos estándar legibles por máquina. El procedimiento y los formatos figuran en el Anexo 3. La exportación se facilita cuando no existan importes vencidos.</w:t>
      </w:r>
    </w:p>
    <w:p>
      <w:r>
        <w:rPr>
          <w:rFonts w:ascii="Times New Roman" w:hAnsi="Times New Roman" w:cs="Times New Roman" w:eastAsia="Times New Roman"/>
          <w:b w:val="0"/>
          <w:i w:val="0"/>
          <w:sz w:val="22"/>
        </w:rPr>
        <w:t>C.11.4. Transcurrido dicho plazo, el Licenciante podrá eliminar el Contenido del Cliente de su infraestructura y confirmará la eliminación a solicitud escrita. Prevalecen las obligaciones legales de conservación cuando resulten aplicables.</w:t>
      </w:r>
    </w:p>
    <w:p>
      <w:r>
        <w:rPr>
          <w:rFonts w:ascii="Times New Roman" w:hAnsi="Times New Roman" w:cs="Times New Roman" w:eastAsia="Times New Roman"/>
          <w:b w:val="0"/>
          <w:i w:val="0"/>
          <w:sz w:val="22"/>
        </w:rPr>
        <w:t>C.11.5. En el modelo On-Premise, la finalización del Plazo de Licencia extingue la clave de licencia. La Contraparte deberá, en el plazo de treinta (30) días, cesar todo uso y eliminar todas las copias del Software, salvo las copias de seguridad que contengan Contenido del Cliente y a partir de las cuales el Software no pueda restablecerse a un estado operativo. El Contenido del Cliente permanece en la infraestructura de la Contraparte y no es recuperado por el Licenciante.</w:t>
      </w:r>
    </w:p>
    <w:p>
      <w:r>
        <w:rPr>
          <w:rFonts w:ascii="Times New Roman" w:hAnsi="Times New Roman" w:cs="Times New Roman" w:eastAsia="Times New Roman"/>
          <w:b w:val="0"/>
          <w:i w:val="0"/>
          <w:sz w:val="22"/>
        </w:rPr>
        <w:t>C.11.6. El Formulario de Pedido podrá prever un período de gracia o un procedimiento de reactivación.</w:t>
      </w:r>
    </w:p>
    <w:p>
      <w:pPr>
        <w:pStyle w:val="Heading2"/>
        <w:keepNext/>
      </w:pPr>
      <w:r>
        <w:rPr>
          <w:rFonts w:ascii="Times New Roman" w:hAnsi="Times New Roman" w:cs="Times New Roman" w:eastAsia="Times New Roman"/>
          <w:b/>
          <w:i w:val="0"/>
          <w:sz w:val="23"/>
        </w:rPr>
        <w:t>C.12. Vigencia, modificaciones y extinción</w:t>
      </w:r>
    </w:p>
    <w:p>
      <w:r>
        <w:rPr>
          <w:rFonts w:ascii="Times New Roman" w:hAnsi="Times New Roman" w:cs="Times New Roman" w:eastAsia="Times New Roman"/>
          <w:b w:val="0"/>
          <w:i w:val="0"/>
          <w:sz w:val="22"/>
        </w:rPr>
        <w:t>C.12.1. El contrato rige desde la aceptación hasta la finalización del Plazo de Licencia y, más allá, respecto de las obligaciones pendientes.</w:t>
      </w:r>
    </w:p>
    <w:p>
      <w:r>
        <w:rPr>
          <w:rFonts w:ascii="Times New Roman" w:hAnsi="Times New Roman" w:cs="Times New Roman" w:eastAsia="Times New Roman"/>
          <w:b w:val="0"/>
          <w:i w:val="0"/>
          <w:sz w:val="22"/>
        </w:rPr>
        <w:t xml:space="preserve">C.12.2. </w:t>
      </w:r>
      <w:r>
        <w:rPr>
          <w:rFonts w:ascii="Times New Roman" w:hAnsi="Times New Roman" w:cs="Times New Roman" w:eastAsia="Times New Roman"/>
          <w:b/>
          <w:i w:val="0"/>
          <w:sz w:val="22"/>
        </w:rPr>
        <w:t>Renovación automática.</w:t>
      </w:r>
      <w:r>
        <w:rPr>
          <w:rFonts w:ascii="Times New Roman" w:hAnsi="Times New Roman" w:cs="Times New Roman" w:eastAsia="Times New Roman"/>
          <w:b w:val="0"/>
          <w:i w:val="0"/>
          <w:sz w:val="22"/>
        </w:rPr>
        <w:t xml:space="preserve"> Cuando el Formulario de Pedido así lo prevea, el Plazo de Licencia se renueva por períodos sucesivos iguales, salvo que cualquiera de las partes comunique su no renovación con al menos treinta (30) días de antelación a la finalización del período en curso. La renovación se produce a los precios vigentes en ese momento, con sujeción a la cláusula C.1.8.</w:t>
      </w:r>
    </w:p>
    <w:p>
      <w:r>
        <w:rPr>
          <w:rFonts w:ascii="Times New Roman" w:hAnsi="Times New Roman" w:cs="Times New Roman" w:eastAsia="Times New Roman"/>
          <w:b w:val="0"/>
          <w:i w:val="0"/>
          <w:sz w:val="22"/>
        </w:rPr>
        <w:t xml:space="preserve">C.12.3. </w:t>
      </w:r>
      <w:r>
        <w:rPr>
          <w:rFonts w:ascii="Times New Roman" w:hAnsi="Times New Roman" w:cs="Times New Roman" w:eastAsia="Times New Roman"/>
          <w:b/>
          <w:i w:val="0"/>
          <w:sz w:val="22"/>
        </w:rPr>
        <w:t>Desistimiento de la Contraparte.</w:t>
      </w:r>
      <w:r>
        <w:rPr>
          <w:rFonts w:ascii="Times New Roman" w:hAnsi="Times New Roman" w:cs="Times New Roman" w:eastAsia="Times New Roman"/>
          <w:b w:val="0"/>
          <w:i w:val="0"/>
          <w:sz w:val="22"/>
        </w:rPr>
        <w:t xml:space="preserve"> La Contraparte puede resolver el contrato con un preaviso de treinta (30) días. La contraprestación del Período de Facturación abonado no se reembolsa, salvo lo previsto en las cláusulas A.6.2, C.10.4, C.10.6 y C.12.5.</w:t>
      </w:r>
    </w:p>
    <w:p>
      <w:r>
        <w:rPr>
          <w:rFonts w:ascii="Times New Roman" w:hAnsi="Times New Roman" w:cs="Times New Roman" w:eastAsia="Times New Roman"/>
          <w:b w:val="0"/>
          <w:i w:val="0"/>
          <w:sz w:val="22"/>
        </w:rPr>
        <w:t xml:space="preserve">C.12.4. </w:t>
      </w:r>
      <w:r>
        <w:rPr>
          <w:rFonts w:ascii="Times New Roman" w:hAnsi="Times New Roman" w:cs="Times New Roman" w:eastAsia="Times New Roman"/>
          <w:b/>
          <w:i w:val="0"/>
          <w:sz w:val="22"/>
        </w:rPr>
        <w:t>Resolución por el Licenciante.</w:t>
      </w:r>
      <w:r>
        <w:rPr>
          <w:rFonts w:ascii="Times New Roman" w:hAnsi="Times New Roman" w:cs="Times New Roman" w:eastAsia="Times New Roman"/>
          <w:b w:val="0"/>
          <w:i w:val="0"/>
          <w:sz w:val="22"/>
        </w:rPr>
        <w:t xml:space="preserve"> El Licenciante podrá resolver con efecto inmediato mediante comunicación si: (a) un pago se demora más de treinta (30) días; (b) el Socio incumple sustancialmente las restricciones de licencia (B.2) y no subsana en el plazo de quince (15) días hábiles desde la comunicación; (c) el Socio queda incurso en procedimiento concursal; (d) el Socio incumple reiteradamente sus obligaciones de información (B.4); o (e) el Socio pierde la condición de socio certificado y no restablece el cumplimiento en el plazo de noventa (90) días. En caso de resolución por los apartados (b) a (e), la contraprestación abonada no se reembolsa.</w:t>
      </w:r>
    </w:p>
    <w:p>
      <w:r>
        <w:rPr>
          <w:rFonts w:ascii="Times New Roman" w:hAnsi="Times New Roman" w:cs="Times New Roman" w:eastAsia="Times New Roman"/>
          <w:b w:val="0"/>
          <w:i w:val="0"/>
          <w:sz w:val="22"/>
        </w:rPr>
        <w:t xml:space="preserve">C.12.5. </w:t>
      </w:r>
      <w:r>
        <w:rPr>
          <w:rFonts w:ascii="Times New Roman" w:hAnsi="Times New Roman" w:cs="Times New Roman" w:eastAsia="Times New Roman"/>
          <w:b/>
          <w:i w:val="0"/>
          <w:sz w:val="22"/>
        </w:rPr>
        <w:t>Modificación de estas Condiciones.</w:t>
      </w:r>
      <w:r>
        <w:rPr>
          <w:rFonts w:ascii="Times New Roman" w:hAnsi="Times New Roman" w:cs="Times New Roman" w:eastAsia="Times New Roman"/>
          <w:b w:val="0"/>
          <w:i w:val="0"/>
          <w:sz w:val="22"/>
        </w:rPr>
        <w:t xml:space="preserve"> El Licenciante puede modificar estas Condiciones publicando una nueva versión en la dirección indicada en el preámbulo. Las modificaciones surten efecto a los treinta (30) días de su publicación, salvo que se indique una fecha posterior. El Período de Facturación ya abonado sigue rigiéndose por la versión vigente al inicio de este, salvo modificaciones exigidas por ley. Si la Contraparte no acepta una nueva versión, podrá resolver antes de que surta efecto y obtener el reembolso de la contraprestación correspondiente a la parte no utilizada del Período de Facturación abonado. El uso continuado tras la fecha de efectos equivale a aceptación.</w:t>
      </w:r>
    </w:p>
    <w:p>
      <w:r>
        <w:rPr>
          <w:rFonts w:ascii="Times New Roman" w:hAnsi="Times New Roman" w:cs="Times New Roman" w:eastAsia="Times New Roman"/>
          <w:b w:val="0"/>
          <w:i w:val="0"/>
          <w:sz w:val="22"/>
        </w:rPr>
        <w:t>C.12.6. El Licenciante archiva todas las versiones de estas Condiciones y facilitará, a solicitud, la vigente en una fecha determinada.</w:t>
      </w:r>
    </w:p>
    <w:p>
      <w:r>
        <w:rPr>
          <w:rFonts w:ascii="Times New Roman" w:hAnsi="Times New Roman" w:cs="Times New Roman" w:eastAsia="Times New Roman"/>
          <w:b w:val="0"/>
          <w:i w:val="0"/>
          <w:sz w:val="22"/>
        </w:rPr>
        <w:t xml:space="preserve">C.12.7. </w:t>
      </w:r>
      <w:r>
        <w:rPr>
          <w:rFonts w:ascii="Times New Roman" w:hAnsi="Times New Roman" w:cs="Times New Roman" w:eastAsia="Times New Roman"/>
          <w:b/>
          <w:i w:val="0"/>
          <w:sz w:val="22"/>
        </w:rPr>
        <w:t>Supervivencia.</w:t>
      </w:r>
      <w:r>
        <w:rPr>
          <w:rFonts w:ascii="Times New Roman" w:hAnsi="Times New Roman" w:cs="Times New Roman" w:eastAsia="Times New Roman"/>
          <w:b w:val="0"/>
          <w:i w:val="0"/>
          <w:sz w:val="22"/>
        </w:rPr>
        <w:t xml:space="preserve"> Las cláusulas C.3, C.4, C.5, C.7, C.8.3, C.9.2, C.10, C.11, C.13, C.14, C.15, C.16 y C.17 subsisten tras la extinción del contrato.</w:t>
      </w:r>
    </w:p>
    <w:p>
      <w:pPr>
        <w:pStyle w:val="Heading2"/>
        <w:keepNext/>
      </w:pPr>
      <w:r>
        <w:rPr>
          <w:rFonts w:ascii="Times New Roman" w:hAnsi="Times New Roman" w:cs="Times New Roman" w:eastAsia="Times New Roman"/>
          <w:b/>
          <w:i w:val="0"/>
          <w:sz w:val="23"/>
        </w:rPr>
        <w:t>C.13. Cesión</w:t>
      </w:r>
    </w:p>
    <w:p>
      <w:r>
        <w:rPr>
          <w:rFonts w:ascii="Times New Roman" w:hAnsi="Times New Roman" w:cs="Times New Roman" w:eastAsia="Times New Roman"/>
          <w:b w:val="0"/>
          <w:i w:val="0"/>
          <w:sz w:val="22"/>
        </w:rPr>
        <w:t>C.13.1. La Contraparte no podrá ceder ni transmitir sus derechos u obligaciones sin consentimiento previo y por escrito del Licenciante, salvo a un sucesor por fusión o adquisición de la práctica totalidad de sus activos, lo que se comunicará al Licenciante en el plazo de diez (10) días hábiles.</w:t>
      </w:r>
    </w:p>
    <w:p>
      <w:r>
        <w:rPr>
          <w:rFonts w:ascii="Times New Roman" w:hAnsi="Times New Roman" w:cs="Times New Roman" w:eastAsia="Times New Roman"/>
          <w:b w:val="0"/>
          <w:i w:val="0"/>
          <w:sz w:val="22"/>
        </w:rPr>
        <w:t>C.13.2. El Licenciante podrá ceder sus derechos y obligaciones a una sociedad de su grupo o a un sucesor en la actividad, mediante comunicación, siempre que se preserven los derechos de la Contraparte.</w:t>
      </w:r>
    </w:p>
    <w:p>
      <w:r>
        <w:rPr>
          <w:rFonts w:ascii="Times New Roman" w:hAnsi="Times New Roman" w:cs="Times New Roman" w:eastAsia="Times New Roman"/>
          <w:b w:val="0"/>
          <w:i w:val="0"/>
          <w:sz w:val="22"/>
        </w:rPr>
        <w:t>C.13.3. El Licenciante podrá recurrir a subcontratistas para cumplir sus obligaciones y responde de su actuación.</w:t>
      </w:r>
    </w:p>
    <w:p>
      <w:pPr>
        <w:pStyle w:val="Heading2"/>
        <w:keepNext/>
      </w:pPr>
      <w:r>
        <w:rPr>
          <w:rFonts w:ascii="Times New Roman" w:hAnsi="Times New Roman" w:cs="Times New Roman" w:eastAsia="Times New Roman"/>
          <w:b/>
          <w:i w:val="0"/>
          <w:sz w:val="23"/>
        </w:rPr>
        <w:t>C.14. Cumplimiento normativo</w:t>
      </w:r>
    </w:p>
    <w:p>
      <w:r>
        <w:rPr>
          <w:rFonts w:ascii="Times New Roman" w:hAnsi="Times New Roman" w:cs="Times New Roman" w:eastAsia="Times New Roman"/>
          <w:b w:val="0"/>
          <w:i w:val="0"/>
          <w:sz w:val="22"/>
        </w:rPr>
        <w:t xml:space="preserve">C.14.1. </w:t>
      </w:r>
      <w:r>
        <w:rPr>
          <w:rFonts w:ascii="Times New Roman" w:hAnsi="Times New Roman" w:cs="Times New Roman" w:eastAsia="Times New Roman"/>
          <w:b/>
          <w:i w:val="0"/>
          <w:sz w:val="22"/>
        </w:rPr>
        <w:t>Anticorrupción.</w:t>
      </w:r>
      <w:r>
        <w:rPr>
          <w:rFonts w:ascii="Times New Roman" w:hAnsi="Times New Roman" w:cs="Times New Roman" w:eastAsia="Times New Roman"/>
          <w:b w:val="0"/>
          <w:i w:val="0"/>
          <w:sz w:val="22"/>
        </w:rPr>
        <w:t xml:space="preserve"> Cada parte cumplirá toda la normativa aplicable en materia de lucha contra el soborno y la corrupción, incluidas la UK Bribery Act 2010 y la Foreign Corrupt Practices Act de los Estados Unidos, y no ofrecerá ni aceptará pago indebido alguno en relación con el contrato.</w:t>
      </w:r>
    </w:p>
    <w:p>
      <w:r>
        <w:rPr>
          <w:rFonts w:ascii="Times New Roman" w:hAnsi="Times New Roman" w:cs="Times New Roman" w:eastAsia="Times New Roman"/>
          <w:b w:val="0"/>
          <w:i w:val="0"/>
          <w:sz w:val="22"/>
        </w:rPr>
        <w:t xml:space="preserve">C.14.2. </w:t>
      </w:r>
      <w:r>
        <w:rPr>
          <w:rFonts w:ascii="Times New Roman" w:hAnsi="Times New Roman" w:cs="Times New Roman" w:eastAsia="Times New Roman"/>
          <w:b/>
          <w:i w:val="0"/>
          <w:sz w:val="22"/>
        </w:rPr>
        <w:t>Control de exportaciones y sanciones.</w:t>
      </w:r>
      <w:r>
        <w:rPr>
          <w:rFonts w:ascii="Times New Roman" w:hAnsi="Times New Roman" w:cs="Times New Roman" w:eastAsia="Times New Roman"/>
          <w:b w:val="0"/>
          <w:i w:val="0"/>
          <w:sz w:val="22"/>
        </w:rPr>
        <w:t xml:space="preserve"> La Contraparte declara que ni ella ni sus titulares reales son objeto de sanciones económicas o restricciones comerciales aplicables, y se obliga a no utilizar, exportar ni reexportar el Software infringiendo la normativa de control de exportaciones aplicable, ni a conceder acceso a persona restringida alguna o en territorio sometido a embargo. El incumplimiento de esta cláusula faculta al Licenciante para suspender o resolver de forma inmediata.</w:t>
      </w:r>
    </w:p>
    <w:p>
      <w:r>
        <w:rPr>
          <w:rFonts w:ascii="Times New Roman" w:hAnsi="Times New Roman" w:cs="Times New Roman" w:eastAsia="Times New Roman"/>
          <w:b w:val="0"/>
          <w:i w:val="0"/>
          <w:sz w:val="22"/>
        </w:rPr>
        <w:t>C.14.3. La Contraparte no utilizará el Software para actividades que requieran una autorización o licencia de la que carezca.</w:t>
      </w:r>
    </w:p>
    <w:p>
      <w:pPr>
        <w:pStyle w:val="Heading2"/>
        <w:keepNext/>
      </w:pPr>
      <w:r>
        <w:rPr>
          <w:rFonts w:ascii="Times New Roman" w:hAnsi="Times New Roman" w:cs="Times New Roman" w:eastAsia="Times New Roman"/>
          <w:b/>
          <w:i w:val="0"/>
          <w:sz w:val="23"/>
        </w:rPr>
        <w:t>C.15. Ley aplicable y resolución de controversias</w:t>
      </w:r>
    </w:p>
    <w:p>
      <w:r>
        <w:rPr>
          <w:rFonts w:ascii="Times New Roman" w:hAnsi="Times New Roman" w:cs="Times New Roman" w:eastAsia="Times New Roman"/>
          <w:b w:val="0"/>
          <w:i w:val="0"/>
          <w:sz w:val="22"/>
        </w:rPr>
        <w:t xml:space="preserve">C.15.1. Estas Condiciones y toda controversia derivada de ellas o relacionada con ellas, incluidas las de naturaleza extracontractual, se rigen por las leyes del </w:t>
      </w:r>
      <w:r>
        <w:rPr>
          <w:rFonts w:ascii="Times New Roman" w:hAnsi="Times New Roman" w:cs="Times New Roman" w:eastAsia="Times New Roman"/>
          <w:b/>
          <w:i w:val="0"/>
          <w:sz w:val="22"/>
        </w:rPr>
        <w:t>Estado de Nueva York</w:t>
      </w:r>
      <w:r>
        <w:rPr>
          <w:rFonts w:ascii="Times New Roman" w:hAnsi="Times New Roman" w:cs="Times New Roman" w:eastAsia="Times New Roman"/>
          <w:b w:val="0"/>
          <w:i w:val="0"/>
          <w:sz w:val="22"/>
        </w:rPr>
        <w:t>, con exclusión de sus normas de conflicto y de la Convención de las Naciones Unidas sobre los Contratos de Compraventa Internacional de Mercaderías.</w:t>
      </w:r>
    </w:p>
    <w:p>
      <w:r>
        <w:rPr>
          <w:rFonts w:ascii="Times New Roman" w:hAnsi="Times New Roman" w:cs="Times New Roman" w:eastAsia="Times New Roman"/>
          <w:b w:val="0"/>
          <w:i w:val="0"/>
          <w:sz w:val="22"/>
        </w:rPr>
        <w:t>C.15.2. Las partes intentarán primero resolver cualquier controversia mediante negociación de buena fe entre representantes con capacidad de decisión, iniciada por comunicación escrita. De no resolverse en treinta (30) días, se aplicará la cláusula C.15.3.</w:t>
      </w:r>
    </w:p>
    <w:p>
      <w:r>
        <w:rPr>
          <w:rFonts w:ascii="Times New Roman" w:hAnsi="Times New Roman" w:cs="Times New Roman" w:eastAsia="Times New Roman"/>
          <w:b w:val="0"/>
          <w:i w:val="0"/>
          <w:sz w:val="22"/>
        </w:rPr>
        <w:t>C.15.3. Toda controversia no resuelta conforme a la cláusula C.15.2 se resolverá definitivamente conforme al Reglamento de Arbitraje de la Cámara de Comercio Internacional por un (1) árbitro designado con arreglo a dicho Reglamento. La sede del arbitraje es Nueva York, Nueva York, Estados Unidos; el idioma del arbitraje es el inglés; el laudo es definitivo y vinculante y podrá ejecutarse ante cualquier tribunal competente.</w:t>
      </w:r>
    </w:p>
    <w:p>
      <w:r>
        <w:rPr>
          <w:rFonts w:ascii="Times New Roman" w:hAnsi="Times New Roman" w:cs="Times New Roman" w:eastAsia="Times New Roman"/>
          <w:b w:val="0"/>
          <w:i w:val="0"/>
          <w:sz w:val="22"/>
        </w:rPr>
        <w:t>C.15.4. Nada impide a cualquiera de las partes solicitar medidas cautelares o urgentes ante cualquier tribunal competente para proteger sus derechos de propiedad intelectual o su Información Confidencial.</w:t>
      </w:r>
    </w:p>
    <w:p>
      <w:r>
        <w:rPr>
          <w:rFonts w:ascii="Times New Roman" w:hAnsi="Times New Roman" w:cs="Times New Roman" w:eastAsia="Times New Roman"/>
          <w:b w:val="0"/>
          <w:i w:val="0"/>
          <w:sz w:val="22"/>
        </w:rPr>
        <w:t>C.15.5. Cuando la Contraparte esté establecida en una jurisdicción cuya normativa imperativa exija otra cosa, dicha normativa prevalecerá en la mínima medida requerida.</w:t>
      </w:r>
    </w:p>
    <w:p>
      <w:pPr>
        <w:pStyle w:val="Heading2"/>
        <w:keepNext/>
      </w:pPr>
      <w:r>
        <w:rPr>
          <w:rFonts w:ascii="Times New Roman" w:hAnsi="Times New Roman" w:cs="Times New Roman" w:eastAsia="Times New Roman"/>
          <w:b/>
          <w:i w:val="0"/>
          <w:sz w:val="23"/>
        </w:rPr>
        <w:t>C.16. Comunicaciones</w:t>
      </w:r>
    </w:p>
    <w:p>
      <w:r>
        <w:rPr>
          <w:rFonts w:ascii="Times New Roman" w:hAnsi="Times New Roman" w:cs="Times New Roman" w:eastAsia="Times New Roman"/>
          <w:b w:val="0"/>
          <w:i w:val="0"/>
          <w:sz w:val="22"/>
        </w:rPr>
        <w:t>C.16.1. Las comunicaciones formales podrán efectuarse: (a) a las direcciones de correo electrónico indicadas en el Formulario de Pedido; (b) a través de ARSY AI Space; (c) por mensajería o correo certificado al domicilio social; o (d) a través de un prestador de intercambio electrónico de documentos acordado.</w:t>
      </w:r>
    </w:p>
    <w:p>
      <w:r>
        <w:rPr>
          <w:rFonts w:ascii="Times New Roman" w:hAnsi="Times New Roman" w:cs="Times New Roman" w:eastAsia="Times New Roman"/>
          <w:b w:val="0"/>
          <w:i w:val="0"/>
          <w:sz w:val="22"/>
        </w:rPr>
        <w:t>C.16.2. La comunicación remitida por correo electrónico o a través de ARSY AI Space se entiende recibida el día hábil siguiente. La remitida por mensajería se entiende recibida con su entrega.</w:t>
      </w:r>
    </w:p>
    <w:p>
      <w:r>
        <w:rPr>
          <w:rFonts w:ascii="Times New Roman" w:hAnsi="Times New Roman" w:cs="Times New Roman" w:eastAsia="Times New Roman"/>
          <w:b w:val="0"/>
          <w:i w:val="0"/>
          <w:sz w:val="22"/>
        </w:rPr>
        <w:t>C.16.3. Las comunicaciones de resolución y las reclamaciones formales deberán efectuarse por los medios (c) o (d), con copia por correo electrónico.</w:t>
      </w:r>
    </w:p>
    <w:p>
      <w:r>
        <w:rPr>
          <w:rFonts w:ascii="Times New Roman" w:hAnsi="Times New Roman" w:cs="Times New Roman" w:eastAsia="Times New Roman"/>
          <w:b w:val="0"/>
          <w:i w:val="0"/>
          <w:sz w:val="22"/>
        </w:rPr>
        <w:t>C.16.4. Cada parte comunicará a la otra los cambios en sus datos en el plazo de cinco (5) días hábiles. Hasta dicha comunicación, las remitidas a los datos anteriores se consideran válidamente efectuadas.</w:t>
      </w:r>
    </w:p>
    <w:p>
      <w:r>
        <w:rPr>
          <w:rFonts w:ascii="Times New Roman" w:hAnsi="Times New Roman" w:cs="Times New Roman" w:eastAsia="Times New Roman"/>
          <w:b w:val="0"/>
          <w:i w:val="0"/>
          <w:sz w:val="22"/>
        </w:rPr>
        <w:t xml:space="preserve">C.16.5. Dirección del Licenciante a efectos de comunicaciones: </w:t>
      </w:r>
      <w:r>
        <w:rPr>
          <w:rFonts w:ascii="Times New Roman" w:hAnsi="Times New Roman" w:cs="Times New Roman" w:eastAsia="Times New Roman"/>
          <w:b/>
          <w:i w:val="0"/>
          <w:sz w:val="22"/>
        </w:rPr>
        <w:t>support@arsy.ai</w:t>
      </w:r>
      <w:r>
        <w:rPr>
          <w:rFonts w:ascii="Times New Roman" w:hAnsi="Times New Roman" w:cs="Times New Roman" w:eastAsia="Times New Roman"/>
          <w:b w:val="0"/>
          <w:i w:val="0"/>
          <w:sz w:val="22"/>
        </w:rPr>
        <w:t>.</w:t>
      </w:r>
    </w:p>
    <w:p>
      <w:pPr>
        <w:pStyle w:val="Heading2"/>
        <w:keepNext/>
      </w:pPr>
      <w:r>
        <w:rPr>
          <w:rFonts w:ascii="Times New Roman" w:hAnsi="Times New Roman" w:cs="Times New Roman" w:eastAsia="Times New Roman"/>
          <w:b/>
          <w:i w:val="0"/>
          <w:sz w:val="23"/>
        </w:rPr>
        <w:t>C.17. Disposiciones finales</w:t>
      </w:r>
    </w:p>
    <w:p>
      <w:r>
        <w:rPr>
          <w:rFonts w:ascii="Times New Roman" w:hAnsi="Times New Roman" w:cs="Times New Roman" w:eastAsia="Times New Roman"/>
          <w:b w:val="0"/>
          <w:i w:val="0"/>
          <w:sz w:val="22"/>
        </w:rPr>
        <w:t>C.17.1. Estas Condiciones y los Anexos constituyen el acuerdo íntegro entre las partes sobre su objeto y sustituyen todas las negociaciones, correspondencia, propuestas y entendimientos previos, salvo los documentos enumerados en la cláusula 1.3. Ninguna parte ha confiado en manifestaciones no recogidas en estas Condiciones; nada en esta cláusula limita la responsabilidad por dolo.</w:t>
      </w:r>
    </w:p>
    <w:p>
      <w:r>
        <w:rPr>
          <w:rFonts w:ascii="Times New Roman" w:hAnsi="Times New Roman" w:cs="Times New Roman" w:eastAsia="Times New Roman"/>
          <w:b w:val="0"/>
          <w:i w:val="0"/>
          <w:sz w:val="22"/>
        </w:rPr>
        <w:t>C.17.2. Si alguna disposición se declarara inválida o inexigible, el resto mantendrá su vigencia y la disposición inválida se sustituirá por aquella que más se aproxime a su resultado económico.</w:t>
      </w:r>
    </w:p>
    <w:p>
      <w:r>
        <w:rPr>
          <w:rFonts w:ascii="Times New Roman" w:hAnsi="Times New Roman" w:cs="Times New Roman" w:eastAsia="Times New Roman"/>
          <w:b w:val="0"/>
          <w:i w:val="0"/>
          <w:sz w:val="22"/>
        </w:rPr>
        <w:t>C.17.3. La falta de ejercicio o el retraso en el ejercicio de un derecho no supone renuncia a él.</w:t>
      </w:r>
    </w:p>
    <w:p>
      <w:r>
        <w:rPr>
          <w:rFonts w:ascii="Times New Roman" w:hAnsi="Times New Roman" w:cs="Times New Roman" w:eastAsia="Times New Roman"/>
          <w:b w:val="0"/>
          <w:i w:val="0"/>
          <w:sz w:val="22"/>
        </w:rPr>
        <w:t>C.17.4. Quien no sea parte del contrato no podrá exigir el cumplimiento de ninguna de sus disposiciones.</w:t>
      </w:r>
    </w:p>
    <w:p>
      <w:r>
        <w:rPr>
          <w:rFonts w:ascii="Times New Roman" w:hAnsi="Times New Roman" w:cs="Times New Roman" w:eastAsia="Times New Roman"/>
          <w:b w:val="0"/>
          <w:i w:val="0"/>
          <w:sz w:val="22"/>
        </w:rPr>
        <w:t>C.17.5. Los títulos son meramente orientativos y no afectan a la interpretación.</w:t>
      </w:r>
    </w:p>
    <w:p>
      <w:r>
        <w:rPr>
          <w:rFonts w:ascii="Times New Roman" w:hAnsi="Times New Roman" w:cs="Times New Roman" w:eastAsia="Times New Roman"/>
          <w:b w:val="0"/>
          <w:i w:val="0"/>
          <w:sz w:val="22"/>
        </w:rPr>
        <w:t xml:space="preserve">C.17.6. </w:t>
      </w:r>
      <w:r>
        <w:rPr>
          <w:rFonts w:ascii="Times New Roman" w:hAnsi="Times New Roman" w:cs="Times New Roman" w:eastAsia="Times New Roman"/>
          <w:b/>
          <w:i w:val="0"/>
          <w:sz w:val="22"/>
        </w:rPr>
        <w:t>Idioma.</w:t>
      </w:r>
      <w:r>
        <w:rPr>
          <w:rFonts w:ascii="Times New Roman" w:hAnsi="Times New Roman" w:cs="Times New Roman" w:eastAsia="Times New Roman"/>
          <w:b w:val="0"/>
          <w:i w:val="0"/>
          <w:sz w:val="22"/>
        </w:rPr>
        <w:t xml:space="preserve"> Estas Condiciones están redactadas en inglés. Las traducciones a otros idiomas se publican únicamente a título informativo; en caso de discrepancia prevalece el texto en inglés, que rige el contrato. Ningún documento publicado por otra persona forma parte de estas Condiciones ni afecta a su interpretación.</w:t>
      </w:r>
    </w:p>
    <w:p>
      <w:pPr>
        <w:pStyle w:val="Heading1"/>
        <w:keepNext/>
        <w:jc w:val="center"/>
      </w:pPr>
      <w:r>
        <w:rPr>
          <w:rFonts w:ascii="Times New Roman" w:hAnsi="Times New Roman" w:cs="Times New Roman" w:eastAsia="Times New Roman"/>
          <w:b/>
          <w:i w:val="0"/>
          <w:sz w:val="26"/>
        </w:rPr>
        <w:t>ANEXO 1. PLANES Y LÍMITES FUNCIONALES</w:t>
      </w:r>
    </w:p>
    <w:tbl>
      <w:tblPr>
        <w:tblStyle w:val="TableGrid"/>
        <w:tblW w:type="auto" w:w="0"/>
        <w:jc w:val="center"/>
        <w:tblLayout w:type="autofit"/>
        <w:tblLook w:firstColumn="1" w:firstRow="1" w:lastColumn="0" w:lastRow="0" w:noHBand="0" w:noVBand="1" w:val="04A0"/>
      </w:tblPr>
      <w:tblGrid>
        <w:gridCol w:w="1871"/>
        <w:gridCol w:w="1871"/>
        <w:gridCol w:w="1871"/>
        <w:gridCol w:w="1871"/>
        <w:gridCol w:w="1871"/>
      </w:tblGrid>
      <w:tr>
        <w:trPr>
          <w:tblHeader w:val="true"/>
        </w:trPr>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Parámetro</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Lite</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Starter</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Professional</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Enterprise</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Emplazamientos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Ilimitados</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Dispositivos de RA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hasta 3</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hasta 10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hasta 30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Ilimitados</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Usuarios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Ilimitados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Ilimitados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Ilimitados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Ilimitados</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Sesiones de vídeo simultáneas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5</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15</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30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Ilimitadas</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Grabación de sesiones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30 días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Indefinida</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Cursos de formación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hasta 5</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Ilimitados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Ilimitados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Ilimitados</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Exámenes y certificación</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Sí</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Sí</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Sí</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Panel y analítica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Básica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Completa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Completa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Completa + a medida</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Exportación de informes (CSV/Excel)</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Sí</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Sí</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Sí</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Analítica de retención y cohortes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Sí</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Sí</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Agente de IA (texto)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Sí</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Sí</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Sí</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Sí</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Agente de IA (voz)</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Sí</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Sí</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Sí</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Búsqueda en la base de conocimiento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Sí</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Sí</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Sí</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Gestión de la base de conocimiento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Sí</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Sí</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Gestión de usuarios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Básica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Sí</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Sí</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Control de acceso por roles (RBAC)</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Sí</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Sí</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Panel de administración y permisos granulares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Sí</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API a medida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Sí</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Modelo de despliegue</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Nube</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Nube</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Nube / On-Premise</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Nube / On-Premise</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Integraciones</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ERP</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ERP, sensores, gestión documental</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Lógica a medida</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hasta 40 h/año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Incluida, según acuerdo</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Soporte</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Correo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Correo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8×5</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24×7 + gestor dedicado</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SLA de disponibilidad</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Ninguno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Ninguno</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99 %</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99,5 %</w:t>
            </w:r>
          </w:p>
        </w:tc>
      </w:tr>
    </w:tbl>
    <w:p>
      <w:pPr>
        <w:spacing w:after="80"/>
      </w:pPr>
    </w:p>
    <w:p>
      <w:r>
        <w:rPr>
          <w:rFonts w:ascii="Times New Roman" w:hAnsi="Times New Roman" w:cs="Times New Roman" w:eastAsia="Times New Roman"/>
          <w:b/>
          <w:i w:val="0"/>
          <w:sz w:val="22"/>
        </w:rPr>
        <w:t>Notas.</w:t>
      </w:r>
    </w:p>
    <w:p>
      <w:pPr>
        <w:spacing w:after="40"/>
        <w:ind w:left="709" w:hanging="425"/>
      </w:pPr>
      <w:r>
        <w:rPr>
          <w:rFonts w:ascii="Times New Roman" w:hAnsi="Times New Roman" w:cs="Times New Roman" w:eastAsia="Times New Roman"/>
          <w:b w:val="0"/>
          <w:i w:val="0"/>
          <w:sz w:val="22"/>
        </w:rPr>
        <w:t>1. El despliegue On-Premise no está disponible en los Planes Lite y Starter.</w:t>
      </w:r>
    </w:p>
    <w:p>
      <w:pPr>
        <w:spacing w:after="40"/>
        <w:ind w:left="709" w:hanging="425"/>
      </w:pPr>
      <w:r>
        <w:rPr>
          <w:rFonts w:ascii="Times New Roman" w:hAnsi="Times New Roman" w:cs="Times New Roman" w:eastAsia="Times New Roman"/>
          <w:b w:val="0"/>
          <w:i w:val="0"/>
          <w:sz w:val="22"/>
        </w:rPr>
        <w:t>2. La grabación de sesiones no está incluida de serie en el Plan Professional; cuando se requiera, se habilita como opción acordada por separado.</w:t>
      </w:r>
    </w:p>
    <w:p>
      <w:pPr>
        <w:spacing w:after="40"/>
        <w:ind w:left="709" w:hanging="425"/>
      </w:pPr>
      <w:r>
        <w:rPr>
          <w:rFonts w:ascii="Times New Roman" w:hAnsi="Times New Roman" w:cs="Times New Roman" w:eastAsia="Times New Roman"/>
          <w:b w:val="0"/>
          <w:i w:val="0"/>
          <w:sz w:val="22"/>
        </w:rPr>
        <w:t>3. Las horas de lógica a medida del Plan Professional no se acumulan al período siguiente, salvo que el Formulario de Pedido disponga otra cosa.</w:t>
      </w:r>
    </w:p>
    <w:p>
      <w:pPr>
        <w:pStyle w:val="Heading1"/>
        <w:keepNext/>
        <w:jc w:val="center"/>
      </w:pPr>
      <w:r>
        <w:rPr>
          <w:rFonts w:ascii="Times New Roman" w:hAnsi="Times New Roman" w:cs="Times New Roman" w:eastAsia="Times New Roman"/>
          <w:b/>
          <w:i w:val="0"/>
          <w:sz w:val="26"/>
        </w:rPr>
        <w:t>ANEXO 2. PRECIOS</w:t>
      </w:r>
    </w:p>
    <w:p>
      <w:pPr>
        <w:pStyle w:val="Heading2"/>
        <w:keepNext/>
      </w:pPr>
      <w:r>
        <w:rPr>
          <w:rFonts w:ascii="Times New Roman" w:hAnsi="Times New Roman" w:cs="Times New Roman" w:eastAsia="Times New Roman"/>
          <w:b/>
          <w:i w:val="0"/>
          <w:sz w:val="23"/>
        </w:rPr>
        <w:t>2.1. Tarifas base (a la fecha de esta versión)</w:t>
      </w:r>
    </w:p>
    <w:p>
      <w:r>
        <w:rPr>
          <w:rFonts w:ascii="Times New Roman" w:hAnsi="Times New Roman" w:cs="Times New Roman" w:eastAsia="Times New Roman"/>
          <w:b w:val="0"/>
          <w:i w:val="0"/>
          <w:sz w:val="22"/>
        </w:rPr>
        <w:t>Todos los precios son por mes natural y no incluyen impuestos (cláusula C.1.7). La Lista de Precios vigente está publicada en https://arsy.ai/pricing.</w:t>
      </w:r>
    </w:p>
    <w:p>
      <w:r>
        <w:rPr>
          <w:rFonts w:ascii="Times New Roman" w:hAnsi="Times New Roman" w:cs="Times New Roman" w:eastAsia="Times New Roman"/>
          <w:b/>
          <w:i w:val="0"/>
          <w:sz w:val="22"/>
        </w:rPr>
        <w:t>Cuota base por Emplazamiento, al mes:</w:t>
      </w:r>
    </w:p>
    <w:tbl>
      <w:tblPr>
        <w:tblStyle w:val="TableGrid"/>
        <w:tblW w:type="auto" w:w="0"/>
        <w:jc w:val="center"/>
        <w:tblLayout w:type="autofit"/>
        <w:tblLook w:firstColumn="1" w:firstRow="1" w:lastColumn="0" w:lastRow="0" w:noHBand="0" w:noVBand="1" w:val="04A0"/>
      </w:tblPr>
      <w:tblGrid>
        <w:gridCol w:w="1871"/>
        <w:gridCol w:w="1871"/>
        <w:gridCol w:w="1871"/>
        <w:gridCol w:w="1871"/>
        <w:gridCol w:w="1871"/>
      </w:tblGrid>
      <w:tr>
        <w:trPr>
          <w:tblHeader w:val="true"/>
        </w:trPr>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Plan</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Lite</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Starter</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Professional</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Enterprise</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USD</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190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320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610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1.200</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RUB</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17.000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29.000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55.000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110.000</w:t>
            </w:r>
          </w:p>
        </w:tc>
      </w:tr>
    </w:tbl>
    <w:p>
      <w:pPr>
        <w:spacing w:after="80"/>
      </w:pPr>
    </w:p>
    <w:p>
      <w:r>
        <w:rPr>
          <w:rFonts w:ascii="Times New Roman" w:hAnsi="Times New Roman" w:cs="Times New Roman" w:eastAsia="Times New Roman"/>
          <w:b/>
          <w:i w:val="0"/>
          <w:sz w:val="22"/>
        </w:rPr>
        <w:t>Por Máquina Cubierta, al mes:</w:t>
      </w:r>
    </w:p>
    <w:tbl>
      <w:tblPr>
        <w:tblStyle w:val="TableGrid"/>
        <w:tblW w:type="auto" w:w="0"/>
        <w:jc w:val="center"/>
        <w:tblLayout w:type="autofit"/>
        <w:tblLook w:firstColumn="1" w:firstRow="1" w:lastColumn="0" w:lastRow="0" w:noHBand="0" w:noVBand="1" w:val="04A0"/>
      </w:tblPr>
      <w:tblGrid>
        <w:gridCol w:w="1871"/>
        <w:gridCol w:w="1871"/>
        <w:gridCol w:w="1871"/>
        <w:gridCol w:w="1871"/>
        <w:gridCol w:w="1871"/>
      </w:tblGrid>
      <w:tr>
        <w:trPr>
          <w:tblHeader w:val="true"/>
        </w:trPr>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Plan</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Lite</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Starter</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Professional</w:t>
            </w:r>
          </w:p>
        </w:tc>
        <w:tc>
          <w:tcPr>
            <w:tcW w:type="dxa" w:w="1871"/>
            <w:shd w:val="clear" w:fill="EDEDED"/>
          </w:tcPr>
          <w:p>
            <w:pPr>
              <w:spacing w:after="20" w:before="20" w:line="240" w:lineRule="auto"/>
              <w:ind w:firstLine="0"/>
              <w:jc w:val="center"/>
            </w:pPr>
            <w:r/>
            <w:r>
              <w:rPr>
                <w:rFonts w:ascii="Times New Roman" w:hAnsi="Times New Roman" w:cs="Times New Roman" w:eastAsia="Times New Roman"/>
                <w:b/>
                <w:i w:val="0"/>
                <w:sz w:val="15"/>
              </w:rPr>
              <w:t>Enterprise</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USD</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62</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87</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107</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127</w:t>
            </w:r>
          </w:p>
        </w:tc>
      </w:tr>
      <w:tr>
        <w:tc>
          <w:tcPr>
            <w:tcW w:type="dxa" w:w="1871"/>
          </w:tcPr>
          <w:p>
            <w:pPr>
              <w:spacing w:after="20" w:before="20" w:line="240" w:lineRule="auto"/>
              <w:ind w:firstLine="0"/>
              <w:jc w:val="left"/>
            </w:pPr>
            <w:r/>
            <w:r>
              <w:rPr>
                <w:rFonts w:ascii="Times New Roman" w:hAnsi="Times New Roman" w:cs="Times New Roman" w:eastAsia="Times New Roman"/>
                <w:b w:val="0"/>
                <w:i w:val="0"/>
                <w:sz w:val="15"/>
              </w:rPr>
              <w:t>RUB</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5.600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8.000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9.600</w:t>
            </w:r>
          </w:p>
        </w:tc>
        <w:tc>
          <w:tcPr>
            <w:tcW w:type="dxa" w:w="1871"/>
          </w:tcPr>
          <w:p>
            <w:pPr>
              <w:spacing w:after="20" w:before="20" w:line="240" w:lineRule="auto"/>
              <w:ind w:firstLine="0"/>
              <w:jc w:val="center"/>
            </w:pPr>
            <w:r/>
            <w:r>
              <w:rPr>
                <w:rFonts w:ascii="Times New Roman" w:hAnsi="Times New Roman" w:cs="Times New Roman" w:eastAsia="Times New Roman"/>
                <w:b w:val="0"/>
                <w:i w:val="0"/>
                <w:sz w:val="15"/>
              </w:rPr>
              <w:t>11.200</w:t>
            </w:r>
          </w:p>
        </w:tc>
      </w:tr>
    </w:tbl>
    <w:p>
      <w:pPr>
        <w:spacing w:after="80"/>
      </w:pPr>
    </w:p>
    <w:p>
      <w:r>
        <w:rPr>
          <w:rFonts w:ascii="Times New Roman" w:hAnsi="Times New Roman" w:cs="Times New Roman" w:eastAsia="Times New Roman"/>
          <w:b/>
          <w:i w:val="0"/>
          <w:sz w:val="22"/>
        </w:rPr>
        <w:t>Descuento por facturación anual:</w:t>
      </w:r>
      <w:r>
        <w:rPr>
          <w:rFonts w:ascii="Times New Roman" w:hAnsi="Times New Roman" w:cs="Times New Roman" w:eastAsia="Times New Roman"/>
          <w:b w:val="0"/>
          <w:i w:val="0"/>
          <w:sz w:val="22"/>
        </w:rPr>
        <w:t xml:space="preserve"> 20 % (total anual = tarifa mensual × 12 × 0,8).</w:t>
      </w:r>
    </w:p>
    <w:p>
      <w:pPr>
        <w:pStyle w:val="Heading2"/>
        <w:keepNext/>
      </w:pPr>
      <w:r>
        <w:rPr>
          <w:rFonts w:ascii="Times New Roman" w:hAnsi="Times New Roman" w:cs="Times New Roman" w:eastAsia="Times New Roman"/>
          <w:b/>
          <w:i w:val="0"/>
          <w:sz w:val="23"/>
        </w:rPr>
        <w:t>2.2. Importes On-Premise</w:t>
      </w:r>
    </w:p>
    <w:p>
      <w:r>
        <w:rPr>
          <w:rFonts w:ascii="Times New Roman" w:hAnsi="Times New Roman" w:cs="Times New Roman" w:eastAsia="Times New Roman"/>
          <w:b w:val="0"/>
          <w:i w:val="0"/>
          <w:sz w:val="22"/>
        </w:rPr>
        <w:t>Aplicables a los Planes Professional y Enterprise.</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Concepto</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Importe</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Despliegue en servidor local (pago único)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USD 2.200</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Licencia de servidor local</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USD 170 al mes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Integración con ERP (pago único)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USD 1.700 – 3.900</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Integración con sensores (pago único)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USD 1.100 – 2.800</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Integración con gestión documental (pago único)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USD 900 – 2.200</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Soporte de integraciones</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USD 110 al mes</w:t>
            </w:r>
          </w:p>
        </w:tc>
      </w:tr>
    </w:tbl>
    <w:p>
      <w:pPr>
        <w:spacing w:after="80"/>
      </w:pPr>
    </w:p>
    <w:p>
      <w:r>
        <w:rPr>
          <w:rFonts w:ascii="Times New Roman" w:hAnsi="Times New Roman" w:cs="Times New Roman" w:eastAsia="Times New Roman"/>
          <w:b w:val="0"/>
          <w:i w:val="0"/>
          <w:sz w:val="22"/>
        </w:rPr>
        <w:t>Las horquillas de integración se concretan en el Formulario de Pedido tras el análisis de los sistemas del Cliente.</w:t>
      </w:r>
    </w:p>
    <w:p>
      <w:pPr>
        <w:pStyle w:val="Heading2"/>
        <w:keepNext/>
      </w:pPr>
      <w:r>
        <w:rPr>
          <w:rFonts w:ascii="Times New Roman" w:hAnsi="Times New Roman" w:cs="Times New Roman" w:eastAsia="Times New Roman"/>
          <w:b/>
          <w:i w:val="0"/>
          <w:sz w:val="23"/>
        </w:rPr>
        <w:t>2.3. Servicios de Implantación</w:t>
      </w:r>
    </w:p>
    <w:p>
      <w:r>
        <w:rPr>
          <w:rFonts w:ascii="Times New Roman" w:hAnsi="Times New Roman" w:cs="Times New Roman" w:eastAsia="Times New Roman"/>
          <w:b w:val="0"/>
          <w:i w:val="0"/>
          <w:sz w:val="22"/>
        </w:rPr>
        <w:t>El escaneo espacial, la configuración, el desarrollo de escenarios, la formación del personal y demás Servicios de Implantación son presupuestados y prestados por el Socio en virtud de un acuerdo independiente con el Cliente y no están incluidos en la contraprestación debida conforme a estas Condiciones.</w:t>
      </w:r>
    </w:p>
    <w:p>
      <w:pPr>
        <w:pStyle w:val="Heading2"/>
        <w:keepNext/>
      </w:pPr>
      <w:r>
        <w:rPr>
          <w:rFonts w:ascii="Times New Roman" w:hAnsi="Times New Roman" w:cs="Times New Roman" w:eastAsia="Times New Roman"/>
          <w:b/>
          <w:i w:val="0"/>
          <w:sz w:val="23"/>
        </w:rPr>
        <w:t>2.4. Condiciones de socio (Parte B)</w:t>
      </w:r>
    </w:p>
    <w:p>
      <w:r>
        <w:rPr>
          <w:rFonts w:ascii="Times New Roman" w:hAnsi="Times New Roman" w:cs="Times New Roman" w:eastAsia="Times New Roman"/>
          <w:b w:val="0"/>
          <w:i w:val="0"/>
          <w:sz w:val="22"/>
        </w:rPr>
        <w:t>Las condiciones comerciales de socio se acuerdan individualmente en el Formulario de Pedido de cada Socio. Este Anexo solo recoge cómo se determinan.</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Parámetro</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Valor</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Niveles de socio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Según el Formulario de Pedido</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Descuento de socio sobre la Lista de Precios</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Según el Formulario de Pedido; se aplica a la cuota base por Emplazamiento y a la cuota por Máquina Cubierta</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Instancias no destinadas a reventa (NFR)</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Según el Formulario de Pedido; mientras subsista la condición de socio certificado</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Plazo de protección del registro de oportunidad</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Noventa (90) días desde el registro, prorrogables una vez por otros noventa (90) días si se acredita actividad</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Resolución de conflictos</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Prioridad para el Socio que registró primero, siempre que acredite actividad en la oportunidad</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Condiciones de pago para Socios</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Pago anticipado, salvo que el Formulario de Pedido fije aplazamiento</w:t>
            </w:r>
          </w:p>
        </w:tc>
      </w:tr>
    </w:tbl>
    <w:p>
      <w:pPr>
        <w:spacing w:after="80"/>
      </w:pPr>
    </w:p>
    <w:p>
      <w:pPr>
        <w:pStyle w:val="Heading1"/>
        <w:keepNext/>
        <w:jc w:val="center"/>
      </w:pPr>
      <w:r>
        <w:rPr>
          <w:rFonts w:ascii="Times New Roman" w:hAnsi="Times New Roman" w:cs="Times New Roman" w:eastAsia="Times New Roman"/>
          <w:b/>
          <w:i w:val="0"/>
          <w:sz w:val="26"/>
        </w:rPr>
        <w:t>ANEXO 3. SOPORTE Y NIVELES DE SERVICIO</w:t>
      </w:r>
    </w:p>
    <w:p>
      <w:pPr>
        <w:pStyle w:val="Heading2"/>
        <w:keepNext/>
      </w:pPr>
      <w:r>
        <w:rPr>
          <w:rFonts w:ascii="Times New Roman" w:hAnsi="Times New Roman" w:cs="Times New Roman" w:eastAsia="Times New Roman"/>
          <w:b/>
          <w:i w:val="0"/>
          <w:sz w:val="23"/>
        </w:rPr>
        <w:t>3.1. Canales</w:t>
      </w:r>
    </w:p>
    <w:p>
      <w:pPr>
        <w:spacing w:after="40"/>
        <w:ind w:left="709" w:hanging="283"/>
      </w:pPr>
      <w:r>
        <w:rPr>
          <w:rFonts w:ascii="Times New Roman" w:hAnsi="Times New Roman" w:cs="Times New Roman" w:eastAsia="Times New Roman"/>
          <w:b w:val="0"/>
          <w:i w:val="0"/>
          <w:sz w:val="22"/>
        </w:rPr>
        <w:t xml:space="preserve">— Correo electrónico: </w:t>
      </w:r>
      <w:r>
        <w:rPr>
          <w:rFonts w:ascii="Times New Roman" w:hAnsi="Times New Roman" w:cs="Times New Roman" w:eastAsia="Times New Roman"/>
          <w:b/>
          <w:i w:val="0"/>
          <w:sz w:val="22"/>
        </w:rPr>
        <w:t>support@arsy.ai</w:t>
      </w:r>
    </w:p>
    <w:p>
      <w:pPr>
        <w:spacing w:after="40"/>
        <w:ind w:left="709" w:hanging="283"/>
      </w:pPr>
      <w:r>
        <w:rPr>
          <w:rFonts w:ascii="Times New Roman" w:hAnsi="Times New Roman" w:cs="Times New Roman" w:eastAsia="Times New Roman"/>
          <w:b w:val="0"/>
          <w:i w:val="0"/>
          <w:sz w:val="22"/>
        </w:rPr>
        <w:t>— ARSY AI Space: https://space.arsy.ai</w:t>
      </w:r>
    </w:p>
    <w:p>
      <w:pPr>
        <w:spacing w:after="40"/>
        <w:ind w:left="709" w:hanging="283"/>
      </w:pPr>
      <w:r>
        <w:rPr>
          <w:rFonts w:ascii="Times New Roman" w:hAnsi="Times New Roman" w:cs="Times New Roman" w:eastAsia="Times New Roman"/>
          <w:b w:val="0"/>
          <w:i w:val="0"/>
          <w:sz w:val="22"/>
        </w:rPr>
        <w:t>— Plan Enterprise: gestor dedicado y un canal prioritario acordado.</w:t>
      </w:r>
    </w:p>
    <w:p>
      <w:r>
        <w:rPr>
          <w:rFonts w:ascii="Times New Roman" w:hAnsi="Times New Roman" w:cs="Times New Roman" w:eastAsia="Times New Roman"/>
          <w:b w:val="0"/>
          <w:i w:val="0"/>
          <w:sz w:val="22"/>
        </w:rPr>
        <w:t>Las incidencias de los Clientes se reciben por el Socio (primer nivel). Las incidencias dirigidas directamente al Licenciante se admiten cuando así lo prevea el Formulario de Pedido o cuando el Socio no haya iniciado su tramitación dentro del tiempo de respuesta aplicable.</w:t>
      </w:r>
    </w:p>
    <w:p>
      <w:pPr>
        <w:pStyle w:val="Heading2"/>
        <w:keepNext/>
      </w:pPr>
      <w:r>
        <w:rPr>
          <w:rFonts w:ascii="Times New Roman" w:hAnsi="Times New Roman" w:cs="Times New Roman" w:eastAsia="Times New Roman"/>
          <w:b/>
          <w:i w:val="0"/>
          <w:sz w:val="23"/>
        </w:rPr>
        <w:t>3.2. Horario de soporte</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Plan</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Horario</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Lite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Correo, días hábiles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Starter</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Correo, días hábiles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Professional</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8×5 (de lunes a viernes, 09:00–18:00 CET, salvo festivos)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Enterprise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24×7</w:t>
            </w:r>
          </w:p>
        </w:tc>
      </w:tr>
    </w:tbl>
    <w:p>
      <w:pPr>
        <w:spacing w:after="80"/>
      </w:pPr>
    </w:p>
    <w:p>
      <w:pPr>
        <w:pStyle w:val="Heading2"/>
        <w:keepNext/>
      </w:pPr>
      <w:r>
        <w:rPr>
          <w:rFonts w:ascii="Times New Roman" w:hAnsi="Times New Roman" w:cs="Times New Roman" w:eastAsia="Times New Roman"/>
          <w:b/>
          <w:i w:val="0"/>
          <w:sz w:val="23"/>
        </w:rPr>
        <w:t>3.3. Prioridades y tiempos de respuesta</w:t>
      </w:r>
    </w:p>
    <w:tbl>
      <w:tblPr>
        <w:tblStyle w:val="TableGrid"/>
        <w:tblW w:type="auto" w:w="0"/>
        <w:jc w:val="center"/>
        <w:tblLayout w:type="autofit"/>
        <w:tblLook w:firstColumn="1" w:firstRow="1" w:lastColumn="0" w:lastRow="0" w:noHBand="0" w:noVBand="1" w:val="04A0"/>
      </w:tblPr>
      <w:tblGrid>
        <w:gridCol w:w="2339"/>
        <w:gridCol w:w="2339"/>
        <w:gridCol w:w="2339"/>
        <w:gridCol w:w="2339"/>
      </w:tblGrid>
      <w:tr>
        <w:trPr>
          <w:tblHeader w:val="true"/>
        </w:trPr>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Prioridad</w:t>
            </w:r>
          </w:p>
        </w:tc>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Descripción</w:t>
            </w:r>
          </w:p>
        </w:tc>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Respuesta (Professional)</w:t>
            </w:r>
          </w:p>
        </w:tc>
        <w:tc>
          <w:tcPr>
            <w:tcW w:type="dxa" w:w="2339"/>
            <w:shd w:val="clear" w:fill="EDEDED"/>
          </w:tcPr>
          <w:p>
            <w:pPr>
              <w:spacing w:after="20" w:before="20" w:line="240" w:lineRule="auto"/>
              <w:ind w:firstLine="0"/>
              <w:jc w:val="center"/>
            </w:pPr>
            <w:r/>
            <w:r>
              <w:rPr>
                <w:rFonts w:ascii="Times New Roman" w:hAnsi="Times New Roman" w:cs="Times New Roman" w:eastAsia="Times New Roman"/>
                <w:b/>
                <w:i w:val="0"/>
                <w:sz w:val="18"/>
              </w:rPr>
              <w:t>Respuesta (Enterprise)</w:t>
            </w:r>
          </w:p>
        </w:tc>
      </w:tr>
      <w:tr>
        <w:tc>
          <w:tcPr>
            <w:tcW w:type="dxa" w:w="2339"/>
          </w:tcPr>
          <w:p>
            <w:pPr>
              <w:spacing w:after="20" w:before="20" w:line="240" w:lineRule="auto"/>
              <w:ind w:firstLine="0"/>
              <w:jc w:val="left"/>
            </w:pPr>
            <w:r/>
            <w:r>
              <w:rPr>
                <w:rFonts w:ascii="Times New Roman" w:hAnsi="Times New Roman" w:cs="Times New Roman" w:eastAsia="Times New Roman"/>
                <w:b/>
                <w:i w:val="0"/>
                <w:sz w:val="18"/>
              </w:rPr>
              <w:t>P1 — Crítica</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Instancia totalmente no disponible, o escenarios esenciales imposibles en todos los Emplazamientos</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4 horas laborables</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1 hora</w:t>
            </w:r>
          </w:p>
        </w:tc>
      </w:tr>
      <w:tr>
        <w:tc>
          <w:tcPr>
            <w:tcW w:type="dxa" w:w="2339"/>
          </w:tcPr>
          <w:p>
            <w:pPr>
              <w:spacing w:after="20" w:before="20" w:line="240" w:lineRule="auto"/>
              <w:ind w:firstLine="0"/>
              <w:jc w:val="left"/>
            </w:pPr>
            <w:r/>
            <w:r>
              <w:rPr>
                <w:rFonts w:ascii="Times New Roman" w:hAnsi="Times New Roman" w:cs="Times New Roman" w:eastAsia="Times New Roman"/>
                <w:b/>
                <w:i w:val="0"/>
                <w:sz w:val="18"/>
              </w:rPr>
              <w:t>P2 — Alta</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Pérdida sustancial de funcionalidad, sin solución alternativa</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8 horas laborables</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4 horas</w:t>
            </w:r>
          </w:p>
        </w:tc>
      </w:tr>
      <w:tr>
        <w:tc>
          <w:tcPr>
            <w:tcW w:type="dxa" w:w="2339"/>
          </w:tcPr>
          <w:p>
            <w:pPr>
              <w:spacing w:after="20" w:before="20" w:line="240" w:lineRule="auto"/>
              <w:ind w:firstLine="0"/>
              <w:jc w:val="left"/>
            </w:pPr>
            <w:r/>
            <w:r>
              <w:rPr>
                <w:rFonts w:ascii="Times New Roman" w:hAnsi="Times New Roman" w:cs="Times New Roman" w:eastAsia="Times New Roman"/>
                <w:b/>
                <w:i w:val="0"/>
                <w:sz w:val="18"/>
              </w:rPr>
              <w:t>P3 — Media</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Afectación parcial, con solución alternativa disponible</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2 días hábiles</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1 día hábil</w:t>
            </w:r>
          </w:p>
        </w:tc>
      </w:tr>
      <w:tr>
        <w:tc>
          <w:tcPr>
            <w:tcW w:type="dxa" w:w="2339"/>
          </w:tcPr>
          <w:p>
            <w:pPr>
              <w:spacing w:after="20" w:before="20" w:line="240" w:lineRule="auto"/>
              <w:ind w:firstLine="0"/>
              <w:jc w:val="left"/>
            </w:pPr>
            <w:r/>
            <w:r>
              <w:rPr>
                <w:rFonts w:ascii="Times New Roman" w:hAnsi="Times New Roman" w:cs="Times New Roman" w:eastAsia="Times New Roman"/>
                <w:b/>
                <w:i w:val="0"/>
                <w:sz w:val="18"/>
              </w:rPr>
              <w:t>P4 — Baja</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Consultas, peticiones de cambio, documentación</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5 días hábiles</w:t>
            </w:r>
          </w:p>
        </w:tc>
        <w:tc>
          <w:tcPr>
            <w:tcW w:type="dxa" w:w="2339"/>
          </w:tcPr>
          <w:p>
            <w:pPr>
              <w:spacing w:after="20" w:before="20" w:line="240" w:lineRule="auto"/>
              <w:ind w:firstLine="0"/>
              <w:jc w:val="center"/>
            </w:pPr>
            <w:r/>
            <w:r>
              <w:rPr>
                <w:rFonts w:ascii="Times New Roman" w:hAnsi="Times New Roman" w:cs="Times New Roman" w:eastAsia="Times New Roman"/>
                <w:b w:val="0"/>
                <w:i w:val="0"/>
                <w:sz w:val="18"/>
              </w:rPr>
              <w:t>3 días hábiles</w:t>
            </w:r>
          </w:p>
        </w:tc>
      </w:tr>
    </w:tbl>
    <w:p>
      <w:pPr>
        <w:spacing w:after="80"/>
      </w:pPr>
    </w:p>
    <w:p>
      <w:r>
        <w:rPr>
          <w:rFonts w:ascii="Times New Roman" w:hAnsi="Times New Roman" w:cs="Times New Roman" w:eastAsia="Times New Roman"/>
          <w:b w:val="0"/>
          <w:i w:val="0"/>
          <w:sz w:val="22"/>
        </w:rPr>
        <w:t>Para los Planes Lite y Starter el objetivo de respuesta es de tres (3) días hábiles para todas las prioridades, sin compromiso de tiempo de resolución.</w:t>
      </w:r>
    </w:p>
    <w:p>
      <w:r>
        <w:rPr>
          <w:rFonts w:ascii="Times New Roman" w:hAnsi="Times New Roman" w:cs="Times New Roman" w:eastAsia="Times New Roman"/>
          <w:b/>
          <w:i w:val="0"/>
          <w:sz w:val="22"/>
        </w:rPr>
        <w:t>Tiempo de respuesta</w:t>
      </w:r>
      <w:r>
        <w:rPr>
          <w:rFonts w:ascii="Times New Roman" w:hAnsi="Times New Roman" w:cs="Times New Roman" w:eastAsia="Times New Roman"/>
          <w:b w:val="0"/>
          <w:i w:val="0"/>
          <w:sz w:val="22"/>
        </w:rPr>
        <w:t xml:space="preserve"> es el período que media entre el registro de la incidencia y su acuse de recibo con clasificación de prioridad. No se asume compromiso de tiempo de resolución salvo que el Formulario de Pedido lo prevea expresamente.</w:t>
      </w:r>
    </w:p>
    <w:p>
      <w:pPr>
        <w:pStyle w:val="Heading2"/>
        <w:keepNext/>
      </w:pPr>
      <w:r>
        <w:rPr>
          <w:rFonts w:ascii="Times New Roman" w:hAnsi="Times New Roman" w:cs="Times New Roman" w:eastAsia="Times New Roman"/>
          <w:b/>
          <w:i w:val="0"/>
          <w:sz w:val="23"/>
        </w:rPr>
        <w:t>3.4. Disponibilidad (solo Nube Gestionada)</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Plan</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Compromiso mensual de disponibilidad</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Lite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Ninguno</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Starter</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Ninguno</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Professional</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99,0 %</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Enterprise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99,5 %</w:t>
            </w:r>
          </w:p>
        </w:tc>
      </w:tr>
    </w:tbl>
    <w:p>
      <w:pPr>
        <w:spacing w:after="80"/>
      </w:pPr>
    </w:p>
    <w:p>
      <w:r>
        <w:rPr>
          <w:rFonts w:ascii="Times New Roman" w:hAnsi="Times New Roman" w:cs="Times New Roman" w:eastAsia="Times New Roman"/>
          <w:b/>
          <w:i w:val="0"/>
          <w:sz w:val="22"/>
        </w:rPr>
        <w:t>Cálculo:</w:t>
      </w:r>
      <w:r>
        <w:rPr>
          <w:rFonts w:ascii="Times New Roman" w:hAnsi="Times New Roman" w:cs="Times New Roman" w:eastAsia="Times New Roman"/>
          <w:b w:val="0"/>
          <w:i w:val="0"/>
          <w:sz w:val="22"/>
        </w:rPr>
        <w:t xml:space="preserve"> Disponibilidad = (Minutos totales del mes − Minutos de indisponibilidad) / Minutos totales del mes × 100 %.</w:t>
      </w:r>
    </w:p>
    <w:p>
      <w:r>
        <w:rPr>
          <w:rFonts w:ascii="Times New Roman" w:hAnsi="Times New Roman" w:cs="Times New Roman" w:eastAsia="Times New Roman"/>
          <w:b/>
          <w:i w:val="0"/>
          <w:sz w:val="22"/>
        </w:rPr>
        <w:t>No computan como indisponibilidad los períodos derivados de:</w:t>
      </w:r>
    </w:p>
    <w:p>
      <w:pPr>
        <w:spacing w:after="40"/>
        <w:ind w:left="709" w:hanging="283"/>
      </w:pPr>
      <w:r>
        <w:rPr>
          <w:rFonts w:ascii="Times New Roman" w:hAnsi="Times New Roman" w:cs="Times New Roman" w:eastAsia="Times New Roman"/>
          <w:b w:val="0"/>
          <w:i w:val="0"/>
          <w:sz w:val="22"/>
        </w:rPr>
        <w:t>— mantenimiento planificado comunicado con al menos cinco (5) días hábiles de antelación (hasta 8 horas por mes natural, habitualmente fuera del horario laboral);</w:t>
      </w:r>
    </w:p>
    <w:p>
      <w:pPr>
        <w:spacing w:after="40"/>
        <w:ind w:left="709" w:hanging="283"/>
      </w:pPr>
      <w:r>
        <w:rPr>
          <w:rFonts w:ascii="Times New Roman" w:hAnsi="Times New Roman" w:cs="Times New Roman" w:eastAsia="Times New Roman"/>
          <w:b w:val="0"/>
          <w:i w:val="0"/>
          <w:sz w:val="22"/>
        </w:rPr>
        <w:t>— mantenimiento de emergencia para corregir vulnerabilidades críticas de seguridad;</w:t>
      </w:r>
    </w:p>
    <w:p>
      <w:pPr>
        <w:spacing w:after="40"/>
        <w:ind w:left="709" w:hanging="283"/>
      </w:pPr>
      <w:r>
        <w:rPr>
          <w:rFonts w:ascii="Times New Roman" w:hAnsi="Times New Roman" w:cs="Times New Roman" w:eastAsia="Times New Roman"/>
          <w:b w:val="0"/>
          <w:i w:val="0"/>
          <w:sz w:val="22"/>
        </w:rPr>
        <w:t>— fuerza mayor (cláusula C.10.6);</w:t>
      </w:r>
    </w:p>
    <w:p>
      <w:pPr>
        <w:spacing w:after="40"/>
        <w:ind w:left="709" w:hanging="283"/>
      </w:pPr>
      <w:r>
        <w:rPr>
          <w:rFonts w:ascii="Times New Roman" w:hAnsi="Times New Roman" w:cs="Times New Roman" w:eastAsia="Times New Roman"/>
          <w:b w:val="0"/>
          <w:i w:val="0"/>
          <w:sz w:val="22"/>
        </w:rPr>
        <w:t>— actos u omisiones de la Contraparte, incluidos el uso indebido, la superación de los límites cuantitativos y la configuración incorrecta de sus equipos o redes;</w:t>
      </w:r>
    </w:p>
    <w:p>
      <w:pPr>
        <w:spacing w:after="40"/>
        <w:ind w:left="709" w:hanging="283"/>
      </w:pPr>
      <w:r>
        <w:rPr>
          <w:rFonts w:ascii="Times New Roman" w:hAnsi="Times New Roman" w:cs="Times New Roman" w:eastAsia="Times New Roman"/>
          <w:b w:val="0"/>
          <w:i w:val="0"/>
          <w:sz w:val="22"/>
        </w:rPr>
        <w:t>— la indisponibilidad de conectividad, equipos o infraestructura ajenos al control del Licenciante;</w:t>
      </w:r>
    </w:p>
    <w:p>
      <w:pPr>
        <w:spacing w:after="40"/>
        <w:ind w:left="709" w:hanging="283"/>
      </w:pPr>
      <w:r>
        <w:rPr>
          <w:rFonts w:ascii="Times New Roman" w:hAnsi="Times New Roman" w:cs="Times New Roman" w:eastAsia="Times New Roman"/>
          <w:b w:val="0"/>
          <w:i w:val="0"/>
          <w:sz w:val="22"/>
        </w:rPr>
        <w:t>— la suspensión prevista en la cláusula C.1.9.</w:t>
      </w:r>
    </w:p>
    <w:p>
      <w:r>
        <w:rPr>
          <w:rFonts w:ascii="Times New Roman" w:hAnsi="Times New Roman" w:cs="Times New Roman" w:eastAsia="Times New Roman"/>
          <w:b/>
          <w:i w:val="0"/>
          <w:sz w:val="22"/>
        </w:rPr>
        <w:t>Las bonificaciones</w:t>
      </w:r>
      <w:r>
        <w:rPr>
          <w:rFonts w:ascii="Times New Roman" w:hAnsi="Times New Roman" w:cs="Times New Roman" w:eastAsia="Times New Roman"/>
          <w:b w:val="0"/>
          <w:i w:val="0"/>
          <w:sz w:val="22"/>
        </w:rPr>
        <w:t>, reclamadas por escrito dentro de los treinta (30) días siguientes al fin del mes afectado, se conceden como prórroga del Plazo de Licencia:</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Disponibilidad real</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Prórroga</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Por debajo del compromiso pero ≥ 98 %</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5 % del mes afectado</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 95 % y &lt; 98 %</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15 % del mes afectado</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&lt; 95 %</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30 % del mes afectado</w:t>
            </w:r>
          </w:p>
        </w:tc>
      </w:tr>
    </w:tbl>
    <w:p>
      <w:pPr>
        <w:spacing w:after="80"/>
      </w:pPr>
    </w:p>
    <w:p>
      <w:r>
        <w:rPr>
          <w:rFonts w:ascii="Times New Roman" w:hAnsi="Times New Roman" w:cs="Times New Roman" w:eastAsia="Times New Roman"/>
          <w:b w:val="0"/>
          <w:i w:val="0"/>
          <w:sz w:val="22"/>
        </w:rPr>
        <w:t>Las bonificaciones de un año natural se limitan al 10 % de la contraprestación anual. Constituyen el único y exclusivo remedio ante la indisponibilidad (cláusula A.5.4).</w:t>
      </w:r>
    </w:p>
    <w:p>
      <w:pPr>
        <w:pStyle w:val="Heading2"/>
        <w:keepNext/>
      </w:pPr>
      <w:r>
        <w:rPr>
          <w:rFonts w:ascii="Times New Roman" w:hAnsi="Times New Roman" w:cs="Times New Roman" w:eastAsia="Times New Roman"/>
          <w:b/>
          <w:i w:val="0"/>
          <w:sz w:val="23"/>
        </w:rPr>
        <w:t>3.5. Copias de seguridad (Nube Gestionada)</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Parámetro</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Valor</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Frecuencia de copia</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Diaria</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Conservación de copias</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30 días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Punto objetivo de recuperación (RPO)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24 horas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Tiempo objetivo de recuperación (RTO)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8 horas (Enterprise), 24 horas (Professional)</w:t>
            </w:r>
          </w:p>
        </w:tc>
      </w:tr>
    </w:tbl>
    <w:p>
      <w:pPr>
        <w:spacing w:after="80"/>
      </w:pPr>
    </w:p>
    <w:p>
      <w:r>
        <w:rPr>
          <w:rFonts w:ascii="Times New Roman" w:hAnsi="Times New Roman" w:cs="Times New Roman" w:eastAsia="Times New Roman"/>
          <w:b w:val="0"/>
          <w:i w:val="0"/>
          <w:sz w:val="22"/>
        </w:rPr>
        <w:t>En el modelo On-Premise, las copias de seguridad corresponden a la Contraparte.</w:t>
      </w:r>
    </w:p>
    <w:p>
      <w:pPr>
        <w:pStyle w:val="Heading2"/>
        <w:keepNext/>
      </w:pPr>
      <w:r>
        <w:rPr>
          <w:rFonts w:ascii="Times New Roman" w:hAnsi="Times New Roman" w:cs="Times New Roman" w:eastAsia="Times New Roman"/>
          <w:b/>
          <w:i w:val="0"/>
          <w:sz w:val="23"/>
        </w:rPr>
        <w:t>3.6. Exportación del Contenido del Cliente (cláusula C.11.3)</w:t>
      </w:r>
    </w:p>
    <w:p>
      <w:r>
        <w:rPr>
          <w:rFonts w:ascii="Times New Roman" w:hAnsi="Times New Roman" w:cs="Times New Roman" w:eastAsia="Times New Roman"/>
          <w:b w:val="0"/>
          <w:i w:val="0"/>
          <w:sz w:val="22"/>
        </w:rPr>
        <w:t>Se facilita en el plazo de quince (15) días hábiles desde la solicitud escrita:</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Categoría de datos</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Formato</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Procedimientos, cursos de formación, escenarios</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JSON estructurado</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Documentación y medios cargados</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Formatos originales de carga</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Mapas espaciales y resultados de escaneo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Nubes de puntos — PLY; geometría 3D — glTF 2.0; metadatos de posicionamiento — formato propio del Licenciante, acompañado de la descripción de su estructura</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Actividad de usuarios, finalización de cursos, informes</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CSV</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Grabaciones de sesiones de vídeo (cuando el Plan las incluya)</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MP4</w:t>
            </w:r>
          </w:p>
        </w:tc>
      </w:tr>
    </w:tbl>
    <w:p>
      <w:pPr>
        <w:spacing w:after="80"/>
      </w:pPr>
    </w:p>
    <w:p>
      <w:r>
        <w:rPr>
          <w:rFonts w:ascii="Times New Roman" w:hAnsi="Times New Roman" w:cs="Times New Roman" w:eastAsia="Times New Roman"/>
          <w:b w:val="0"/>
          <w:i w:val="0"/>
          <w:sz w:val="22"/>
        </w:rPr>
        <w:t>Se entrega por un canal de descarga seguro. Una exportación dentro del período de 90 días es gratuita.</w:t>
      </w:r>
    </w:p>
    <w:p>
      <w:pPr>
        <w:pStyle w:val="Heading1"/>
        <w:keepNext/>
        <w:jc w:val="center"/>
      </w:pPr>
      <w:r>
        <w:rPr>
          <w:rFonts w:ascii="Times New Roman" w:hAnsi="Times New Roman" w:cs="Times New Roman" w:eastAsia="Times New Roman"/>
          <w:b/>
          <w:i w:val="0"/>
          <w:sz w:val="26"/>
        </w:rPr>
        <w:t>ANEXO 4. ACUERDO DE ENCARGO DE TRATAMIENTO</w:t>
      </w:r>
    </w:p>
    <w:p>
      <w:r>
        <w:rPr>
          <w:rFonts w:ascii="Times New Roman" w:hAnsi="Times New Roman" w:cs="Times New Roman" w:eastAsia="Times New Roman"/>
          <w:b w:val="0"/>
          <w:i w:val="0"/>
          <w:sz w:val="22"/>
        </w:rPr>
        <w:t xml:space="preserve">Este Anexo constituye el acuerdo de encargo de tratamiento entre las partes a los efectos del artículo 28.3 del RGPD y de las disposiciones equivalentes del RGPD del Reino Unido. Se aplica al Modelo de Despliegue de </w:t>
      </w:r>
      <w:r>
        <w:rPr>
          <w:rFonts w:ascii="Times New Roman" w:hAnsi="Times New Roman" w:cs="Times New Roman" w:eastAsia="Times New Roman"/>
          <w:b/>
          <w:i w:val="0"/>
          <w:sz w:val="22"/>
        </w:rPr>
        <w:t>Nube Gestionada</w:t>
      </w:r>
      <w:r>
        <w:rPr>
          <w:rFonts w:ascii="Times New Roman" w:hAnsi="Times New Roman" w:cs="Times New Roman" w:eastAsia="Times New Roman"/>
          <w:b w:val="0"/>
          <w:i w:val="0"/>
          <w:sz w:val="22"/>
        </w:rPr>
        <w:t>; en el modelo On-Premise se aplica únicamente al acceso de soporte concedido conforme a la cláusula C.3.3.</w:t>
      </w:r>
    </w:p>
    <w:p>
      <w:r>
        <w:rPr>
          <w:rFonts w:ascii="Times New Roman" w:hAnsi="Times New Roman" w:cs="Times New Roman" w:eastAsia="Times New Roman"/>
          <w:b/>
          <w:i w:val="0"/>
          <w:sz w:val="22"/>
        </w:rPr>
        <w:t>4.1. Papeles.</w:t>
      </w:r>
      <w:r>
        <w:rPr>
          <w:rFonts w:ascii="Times New Roman" w:hAnsi="Times New Roman" w:cs="Times New Roman" w:eastAsia="Times New Roman"/>
          <w:b w:val="0"/>
          <w:i w:val="0"/>
          <w:sz w:val="22"/>
        </w:rPr>
        <w:t xml:space="preserve"> La Contraparte es responsable del tratamiento; el Licenciante es encargado del tratamiento.</w:t>
      </w:r>
    </w:p>
    <w:p>
      <w:r>
        <w:rPr>
          <w:rFonts w:ascii="Times New Roman" w:hAnsi="Times New Roman" w:cs="Times New Roman" w:eastAsia="Times New Roman"/>
          <w:b/>
          <w:i w:val="0"/>
          <w:sz w:val="22"/>
        </w:rPr>
        <w:t>4.2. Objeto y finalidad.</w:t>
      </w:r>
      <w:r>
        <w:rPr>
          <w:rFonts w:ascii="Times New Roman" w:hAnsi="Times New Roman" w:cs="Times New Roman" w:eastAsia="Times New Roman"/>
          <w:b w:val="0"/>
          <w:i w:val="0"/>
          <w:sz w:val="22"/>
        </w:rPr>
        <w:t xml:space="preserve"> Operar el Software para el responsable y prestar soporte técnico.</w:t>
      </w:r>
    </w:p>
    <w:p>
      <w:r>
        <w:rPr>
          <w:rFonts w:ascii="Times New Roman" w:hAnsi="Times New Roman" w:cs="Times New Roman" w:eastAsia="Times New Roman"/>
          <w:b/>
          <w:i w:val="0"/>
          <w:sz w:val="22"/>
        </w:rPr>
        <w:t>4.3. Duración.</w:t>
      </w:r>
      <w:r>
        <w:rPr>
          <w:rFonts w:ascii="Times New Roman" w:hAnsi="Times New Roman" w:cs="Times New Roman" w:eastAsia="Times New Roman"/>
          <w:b w:val="0"/>
          <w:i w:val="0"/>
          <w:sz w:val="22"/>
        </w:rPr>
        <w:t xml:space="preserve"> El Plazo de Licencia más noventa (90) días (cláusula C.11.3).</w:t>
      </w:r>
    </w:p>
    <w:p>
      <w:r>
        <w:rPr>
          <w:rFonts w:ascii="Times New Roman" w:hAnsi="Times New Roman" w:cs="Times New Roman" w:eastAsia="Times New Roman"/>
          <w:b/>
          <w:i w:val="0"/>
          <w:sz w:val="22"/>
        </w:rPr>
        <w:t>4.4. Naturaleza del tratamiento.</w:t>
      </w:r>
      <w:r>
        <w:rPr>
          <w:rFonts w:ascii="Times New Roman" w:hAnsi="Times New Roman" w:cs="Times New Roman" w:eastAsia="Times New Roman"/>
          <w:b w:val="0"/>
          <w:i w:val="0"/>
          <w:sz w:val="22"/>
        </w:rPr>
        <w:t xml:space="preserve"> Recogida (del responsable y de sus Usuarios), registro, organización, estructuración, conservación, adaptación, extracción, utilización, limitación, supresión y destrucción, por medios automatizados y no automatizados.</w:t>
      </w:r>
    </w:p>
    <w:p>
      <w:r>
        <w:rPr>
          <w:rFonts w:ascii="Times New Roman" w:hAnsi="Times New Roman" w:cs="Times New Roman" w:eastAsia="Times New Roman"/>
          <w:b/>
          <w:i w:val="0"/>
          <w:sz w:val="22"/>
        </w:rPr>
        <w:t>4.5. Categorías de interesados.</w:t>
      </w:r>
      <w:r>
        <w:rPr>
          <w:rFonts w:ascii="Times New Roman" w:hAnsi="Times New Roman" w:cs="Times New Roman" w:eastAsia="Times New Roman"/>
          <w:b w:val="0"/>
          <w:i w:val="0"/>
          <w:sz w:val="22"/>
        </w:rPr>
        <w:t xml:space="preserve"> Empleados, personas en formación y contratistas del responsable, así como cualquier persona cuya imagen o voz pueda captarse a través del módulo «Experto Remoto» o de las funciones de captura de evidencias.</w:t>
      </w:r>
    </w:p>
    <w:p>
      <w:r>
        <w:rPr>
          <w:rFonts w:ascii="Times New Roman" w:hAnsi="Times New Roman" w:cs="Times New Roman" w:eastAsia="Times New Roman"/>
          <w:b/>
          <w:i w:val="0"/>
          <w:sz w:val="22"/>
        </w:rPr>
        <w:t>4.6. Categorías de datos personales.</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Categoría</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Contenido</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Datos de cuenta</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Nombre; correo electrónico profesional; identificador de usuario; puesto y departamento; rol en el sistema</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Datos de actividad</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Accesos, acciones en el Software, resultados de cursos y exámenes, finalización de procedimientos, resultados de inspecciones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Datos técnicos</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Dirección IP, identificador de dispositivo, versión del cliente, registros de eventos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Medios</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Fotografías, vídeo y audio generados durante el uso, en la medida habilitada por el responsable</w:t>
            </w:r>
          </w:p>
        </w:tc>
      </w:tr>
    </w:tbl>
    <w:p>
      <w:pPr>
        <w:spacing w:after="80"/>
      </w:pPr>
    </w:p>
    <w:p>
      <w:r>
        <w:rPr>
          <w:rFonts w:ascii="Times New Roman" w:hAnsi="Times New Roman" w:cs="Times New Roman" w:eastAsia="Times New Roman"/>
          <w:b w:val="0"/>
          <w:i w:val="0"/>
          <w:sz w:val="22"/>
        </w:rPr>
        <w:t>Las categorías especiales de datos personales y los datos biométricos quedan fuera del ámbito de este Anexo (cláusula C.6.6).</w:t>
      </w:r>
    </w:p>
    <w:p>
      <w:r>
        <w:rPr>
          <w:rFonts w:ascii="Times New Roman" w:hAnsi="Times New Roman" w:cs="Times New Roman" w:eastAsia="Times New Roman"/>
          <w:b/>
          <w:i w:val="0"/>
          <w:sz w:val="22"/>
        </w:rPr>
        <w:t>4.7. Obligaciones del encargado.</w:t>
      </w:r>
      <w:r>
        <w:rPr>
          <w:rFonts w:ascii="Times New Roman" w:hAnsi="Times New Roman" w:cs="Times New Roman" w:eastAsia="Times New Roman"/>
          <w:b w:val="0"/>
          <w:i w:val="0"/>
          <w:sz w:val="22"/>
        </w:rPr>
        <w:t xml:space="preserve"> El Licenciante: tratará los datos personales únicamente conforme a instrucciones documentadas del responsable, también en cuanto a transferencias internacionales, salvo obligación legal en contrario (en cuyo caso informará al responsable salvo prohibición); garantizará que las personas autorizadas para tratar los datos estén sujetas a deber de confidencialidad; aplicará las medidas técnicas y organizativas de la cláusula 4.8; asistirá al responsable, teniendo en cuenta la naturaleza del tratamiento, en las solicitudes de los interesados y en las obligaciones de los artículos 32 a 36 del RGPD; y, a elección del responsable, suprimirá o devolverá los datos personales al término del tratamiento, con sujeción a la cláusula C.11.</w:t>
      </w:r>
    </w:p>
    <w:p>
      <w:r>
        <w:rPr>
          <w:rFonts w:ascii="Times New Roman" w:hAnsi="Times New Roman" w:cs="Times New Roman" w:eastAsia="Times New Roman"/>
          <w:b/>
          <w:i w:val="0"/>
          <w:sz w:val="22"/>
        </w:rPr>
        <w:t>4.8. Medidas de seguridad.</w:t>
      </w:r>
      <w:r>
        <w:rPr>
          <w:rFonts w:ascii="Times New Roman" w:hAnsi="Times New Roman" w:cs="Times New Roman" w:eastAsia="Times New Roman"/>
          <w:b w:val="0"/>
          <w:i w:val="0"/>
          <w:sz w:val="22"/>
        </w:rPr>
        <w:t xml:space="preserve"> El Licenciante implanta y mantiene al menos las siguientes medidas técnicas y organizativas:</w:t>
      </w:r>
    </w:p>
    <w:p>
      <w:pPr>
        <w:spacing w:after="40"/>
        <w:ind w:left="709" w:hanging="283"/>
      </w:pPr>
      <w:r>
        <w:rPr>
          <w:rFonts w:ascii="Times New Roman" w:hAnsi="Times New Roman" w:cs="Times New Roman" w:eastAsia="Times New Roman"/>
          <w:b w:val="0"/>
          <w:i w:val="0"/>
          <w:sz w:val="22"/>
        </w:rPr>
        <w:t>— cifrado de los datos en tránsito (TLS) y cifrado de las copias de seguridad;</w:t>
      </w:r>
    </w:p>
    <w:p>
      <w:pPr>
        <w:spacing w:after="40"/>
        <w:ind w:left="709" w:hanging="283"/>
      </w:pPr>
      <w:r>
        <w:rPr>
          <w:rFonts w:ascii="Times New Roman" w:hAnsi="Times New Roman" w:cs="Times New Roman" w:eastAsia="Times New Roman"/>
          <w:b w:val="0"/>
          <w:i w:val="0"/>
          <w:sz w:val="22"/>
        </w:rPr>
        <w:t>— control de acceso por roles, acceso administrativo con mínimo privilegio y cuentas individualmente atribuibles;</w:t>
      </w:r>
    </w:p>
    <w:p>
      <w:pPr>
        <w:spacing w:after="40"/>
        <w:ind w:left="709" w:hanging="283"/>
      </w:pPr>
      <w:r>
        <w:rPr>
          <w:rFonts w:ascii="Times New Roman" w:hAnsi="Times New Roman" w:cs="Times New Roman" w:eastAsia="Times New Roman"/>
          <w:b w:val="0"/>
          <w:i w:val="0"/>
          <w:sz w:val="22"/>
        </w:rPr>
        <w:t>— registro de auditoría de la actividad de usuarios y administradores, con conservación de los registros;</w:t>
      </w:r>
    </w:p>
    <w:p>
      <w:pPr>
        <w:spacing w:after="40"/>
        <w:ind w:left="709" w:hanging="283"/>
      </w:pPr>
      <w:r>
        <w:rPr>
          <w:rFonts w:ascii="Times New Roman" w:hAnsi="Times New Roman" w:cs="Times New Roman" w:eastAsia="Times New Roman"/>
          <w:b w:val="0"/>
          <w:i w:val="0"/>
          <w:sz w:val="22"/>
        </w:rPr>
        <w:t>— segmentación de red entre entornos;</w:t>
      </w:r>
    </w:p>
    <w:p>
      <w:pPr>
        <w:spacing w:after="40"/>
        <w:ind w:left="709" w:hanging="283"/>
      </w:pPr>
      <w:r>
        <w:rPr>
          <w:rFonts w:ascii="Times New Roman" w:hAnsi="Times New Roman" w:cs="Times New Roman" w:eastAsia="Times New Roman"/>
          <w:b w:val="0"/>
          <w:i w:val="0"/>
          <w:sz w:val="22"/>
        </w:rPr>
        <w:t>— copias de seguridad diarias conforme a la cláusula 3.5 del Anexo 3, con pruebas periódicas de restauración;</w:t>
      </w:r>
    </w:p>
    <w:p>
      <w:pPr>
        <w:spacing w:after="40"/>
        <w:ind w:left="709" w:hanging="283"/>
      </w:pPr>
      <w:r>
        <w:rPr>
          <w:rFonts w:ascii="Times New Roman" w:hAnsi="Times New Roman" w:cs="Times New Roman" w:eastAsia="Times New Roman"/>
          <w:b w:val="0"/>
          <w:i w:val="0"/>
          <w:sz w:val="22"/>
        </w:rPr>
        <w:t>— gestión de vulnerabilidades y aplicación oportuna de actualizaciones de seguridad;</w:t>
      </w:r>
    </w:p>
    <w:p>
      <w:pPr>
        <w:spacing w:after="40"/>
        <w:ind w:left="709" w:hanging="283"/>
      </w:pPr>
      <w:r>
        <w:rPr>
          <w:rFonts w:ascii="Times New Roman" w:hAnsi="Times New Roman" w:cs="Times New Roman" w:eastAsia="Times New Roman"/>
          <w:b w:val="0"/>
          <w:i w:val="0"/>
          <w:sz w:val="22"/>
        </w:rPr>
        <w:t>— compromisos de confidencialidad y formación en seguridad del personal autorizado;</w:t>
      </w:r>
    </w:p>
    <w:p>
      <w:pPr>
        <w:spacing w:after="40"/>
        <w:ind w:left="709" w:hanging="283"/>
      </w:pPr>
      <w:r>
        <w:rPr>
          <w:rFonts w:ascii="Times New Roman" w:hAnsi="Times New Roman" w:cs="Times New Roman" w:eastAsia="Times New Roman"/>
          <w:b w:val="0"/>
          <w:i w:val="0"/>
          <w:sz w:val="22"/>
        </w:rPr>
        <w:t>— un proceso documentado de respuesta a incidentes;</w:t>
      </w:r>
    </w:p>
    <w:p>
      <w:pPr>
        <w:spacing w:after="40"/>
        <w:ind w:left="709" w:hanging="283"/>
      </w:pPr>
      <w:r>
        <w:rPr>
          <w:rFonts w:ascii="Times New Roman" w:hAnsi="Times New Roman" w:cs="Times New Roman" w:eastAsia="Times New Roman"/>
          <w:b w:val="0"/>
          <w:i w:val="0"/>
          <w:sz w:val="22"/>
        </w:rPr>
        <w:t>— una persona designada como responsable de la organización del tratamiento de datos personales;</w:t>
      </w:r>
    </w:p>
    <w:p>
      <w:pPr>
        <w:spacing w:after="40"/>
        <w:ind w:left="709" w:hanging="283"/>
      </w:pPr>
      <w:r>
        <w:rPr>
          <w:rFonts w:ascii="Times New Roman" w:hAnsi="Times New Roman" w:cs="Times New Roman" w:eastAsia="Times New Roman"/>
          <w:b w:val="0"/>
          <w:i w:val="0"/>
          <w:sz w:val="22"/>
        </w:rPr>
        <w:t>— políticas internas documentadas sobre el tratamiento y la protección de datos personales.</w:t>
      </w:r>
    </w:p>
    <w:p>
      <w:r>
        <w:rPr>
          <w:rFonts w:ascii="Times New Roman" w:hAnsi="Times New Roman" w:cs="Times New Roman" w:eastAsia="Times New Roman"/>
          <w:b/>
          <w:i w:val="0"/>
          <w:sz w:val="22"/>
        </w:rPr>
        <w:t>4.9. Subencargados.</w:t>
      </w:r>
      <w:r>
        <w:rPr>
          <w:rFonts w:ascii="Times New Roman" w:hAnsi="Times New Roman" w:cs="Times New Roman" w:eastAsia="Times New Roman"/>
          <w:b w:val="0"/>
          <w:i w:val="0"/>
          <w:sz w:val="22"/>
        </w:rPr>
        <w:t xml:space="preserve"> El Licenciante solo podrá recurrir a subencargados mediante contrato escrito que imponga obligaciones equivalentes, y responde plenamente de su actuación. A la fecha de esta versión no se recurre a subencargado alguno distinto del operador del centro de datos que aporta la infraestructura de cómputo de la región de alojamiento indicada en la cláusula 4.12, que únicamente suministra capacidad y no realiza tratamiento propio. El Licenciante comunicará con al menos treinta (30) días de antelación cualquier incorporación o sustitución prevista, y el responsable podrá oponerse por motivos razonables de protección de datos; si la oposición no puede resolverse, el responsable podrá resolver los servicios afectados con reembolso proporcional.</w:t>
      </w:r>
    </w:p>
    <w:p>
      <w:r>
        <w:rPr>
          <w:rFonts w:ascii="Times New Roman" w:hAnsi="Times New Roman" w:cs="Times New Roman" w:eastAsia="Times New Roman"/>
          <w:b/>
          <w:i w:val="0"/>
          <w:sz w:val="22"/>
        </w:rPr>
        <w:t>4.10. Violaciones de la seguridad de los datos personales.</w:t>
      </w:r>
      <w:r>
        <w:rPr>
          <w:rFonts w:ascii="Times New Roman" w:hAnsi="Times New Roman" w:cs="Times New Roman" w:eastAsia="Times New Roman"/>
          <w:b w:val="0"/>
          <w:i w:val="0"/>
          <w:sz w:val="22"/>
        </w:rPr>
        <w:t xml:space="preserve"> El Licenciante notificará al responsable sin dilación indebida y, en todo caso, dentro de las veinticuatro (24) horas siguientes a tener conocimiento de una violación que afecte a sus datos, facilitando la información disponible sobre su naturaleza, las categorías y el volumen aproximado de datos afectados, las consecuencias probables y las medidas adoptadas.</w:t>
      </w:r>
    </w:p>
    <w:p>
      <w:r>
        <w:rPr>
          <w:rFonts w:ascii="Times New Roman" w:hAnsi="Times New Roman" w:cs="Times New Roman" w:eastAsia="Times New Roman"/>
          <w:b/>
          <w:i w:val="0"/>
          <w:sz w:val="22"/>
        </w:rPr>
        <w:t>4.11. Auditorías.</w:t>
      </w:r>
      <w:r>
        <w:rPr>
          <w:rFonts w:ascii="Times New Roman" w:hAnsi="Times New Roman" w:cs="Times New Roman" w:eastAsia="Times New Roman"/>
          <w:b w:val="0"/>
          <w:i w:val="0"/>
          <w:sz w:val="22"/>
        </w:rPr>
        <w:t xml:space="preserve"> El Licenciante pondrá a disposición la información necesaria para demostrar el cumplimiento de este Anexo y permitirá y contribuirá a auditorías, incluidas inspecciones, realizadas por el responsable o por un auditor por él mandatado, como máximo una vez cada doce (12) meses (salvo requerimiento de una autoridad de control), con preaviso de treinta (30) días, en horario laboral, con sujeción a confidencialidad y al reembolso razonable de costes.</w:t>
      </w:r>
    </w:p>
    <w:p>
      <w:r>
        <w:rPr>
          <w:rFonts w:ascii="Times New Roman" w:hAnsi="Times New Roman" w:cs="Times New Roman" w:eastAsia="Times New Roman"/>
          <w:b/>
          <w:i w:val="0"/>
          <w:sz w:val="22"/>
        </w:rPr>
        <w:t>4.12. Transferencias internacionales.</w:t>
      </w:r>
      <w:r>
        <w:rPr>
          <w:rFonts w:ascii="Times New Roman" w:hAnsi="Times New Roman" w:cs="Times New Roman" w:eastAsia="Times New Roman"/>
          <w:b w:val="0"/>
          <w:i w:val="0"/>
          <w:sz w:val="22"/>
        </w:rPr>
        <w:t xml:space="preserve"> Región de alojamiento: la Unión Europea (Fráncfort del Meno, Alemania). El Contenido del Cliente y los datos personales tratados conforme a estas Condiciones se almacenan en la UE y no fuera de ella.</w:t>
      </w:r>
    </w:p>
    <w:p>
      <w:r>
        <w:rPr>
          <w:rFonts w:ascii="Times New Roman" w:hAnsi="Times New Roman" w:cs="Times New Roman" w:eastAsia="Times New Roman"/>
          <w:b w:val="0"/>
          <w:i w:val="0"/>
          <w:sz w:val="22"/>
        </w:rPr>
        <w:t>El Licenciante está establecido en los Estados Unidos. Cuando su personal acceda a datos personales desde fuera del EEE para prestar soporte conforme a la cláusula C.3.3, dicho acceso constituye una transferencia a un tercer país y se realiza al amparo de las Cláusulas Contractuales Tipo de la UE (Decisión de Ejecución (UE) 2021/914), Módulo Dos (responsable a encargado), que se incorporan a estas Condiciones por referencia, junto con el UK International Data Transfer Addendum cuando resulte aplicable el RGPD del Reino Unido. Se aplica la cláusula facultativa de adhesión. Ley aplicable y fuero de las Cláusulas Contractuales Tipo: Alemania. Los Anexos I a III de dichas Cláusulas se completan con las cláusulas 4.1 a 4.9 de este Anexo.</w:t>
      </w:r>
    </w:p>
    <w:p>
      <w:r>
        <w:rPr>
          <w:rFonts w:ascii="Times New Roman" w:hAnsi="Times New Roman" w:cs="Times New Roman" w:eastAsia="Times New Roman"/>
          <w:b/>
          <w:i w:val="0"/>
          <w:sz w:val="22"/>
        </w:rPr>
        <w:t>4.13. Localización de datos.</w:t>
      </w:r>
      <w:r>
        <w:rPr>
          <w:rFonts w:ascii="Times New Roman" w:hAnsi="Times New Roman" w:cs="Times New Roman" w:eastAsia="Times New Roman"/>
          <w:b w:val="0"/>
          <w:i w:val="0"/>
          <w:sz w:val="22"/>
        </w:rPr>
        <w:t xml:space="preserve"> Cuando el responsable esté sujeto a una exigencia de localización de datos, la región de alojamiento se acuerda en el Formulario de Pedido. Los despliegues que por ley deban alojarse en la Federación de Rusia quedan fuera del objeto de estas Condiciones; conforme a estas Condiciones no se aloja allí dato personal alguno.</w:t>
      </w:r>
    </w:p>
    <w:p>
      <w:r>
        <w:rPr>
          <w:rFonts w:ascii="Times New Roman" w:hAnsi="Times New Roman" w:cs="Times New Roman" w:eastAsia="Times New Roman"/>
          <w:b/>
          <w:i w:val="0"/>
          <w:sz w:val="22"/>
        </w:rPr>
        <w:t>4.14. On-Premise.</w:t>
      </w:r>
      <w:r>
        <w:rPr>
          <w:rFonts w:ascii="Times New Roman" w:hAnsi="Times New Roman" w:cs="Times New Roman" w:eastAsia="Times New Roman"/>
          <w:b w:val="0"/>
          <w:i w:val="0"/>
          <w:sz w:val="22"/>
        </w:rPr>
        <w:t xml:space="preserve"> En el modelo On-Premise no se transmiten datos personales al Licenciante. Cuando se conceda acceso de soporte conforme a la cláusula C.3.3, dicho acceso se realiza por instrucción del responsable en cada incidencia y queda sujeto a este Anexo mientras dure.</w:t>
      </w:r>
    </w:p>
    <w:p>
      <w:pPr>
        <w:pStyle w:val="Heading1"/>
        <w:keepNext/>
        <w:jc w:val="center"/>
      </w:pPr>
      <w:r>
        <w:rPr>
          <w:rFonts w:ascii="Times New Roman" w:hAnsi="Times New Roman" w:cs="Times New Roman" w:eastAsia="Times New Roman"/>
          <w:b/>
          <w:i w:val="0"/>
          <w:sz w:val="26"/>
        </w:rPr>
        <w:t>ANEXO 5. REQUISITOS DE INFRAESTRUCTURA (ON-PREMISE)</w:t>
      </w:r>
    </w:p>
    <w:p>
      <w:r>
        <w:rPr>
          <w:rFonts w:ascii="Times New Roman" w:hAnsi="Times New Roman" w:cs="Times New Roman" w:eastAsia="Times New Roman"/>
          <w:b w:val="0"/>
          <w:i w:val="0"/>
          <w:sz w:val="22"/>
        </w:rPr>
        <w:t>Configuración mínima del servidor para una Instancia On-Premise:</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Componente</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Mínimo</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CPU</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8 vCPU / 8 núcleos físicos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GPU</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12 GB de VRAM</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RAM</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16 GB</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Almacenamiento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SSD de 200 GB</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Red</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100 Mbit/s (1 Gbit/s recomendado)</w:t>
            </w:r>
          </w:p>
        </w:tc>
      </w:tr>
    </w:tbl>
    <w:p>
      <w:pPr>
        <w:spacing w:after="80"/>
      </w:pPr>
    </w:p>
    <w:p>
      <w:r>
        <w:rPr>
          <w:rFonts w:ascii="Times New Roman" w:hAnsi="Times New Roman" w:cs="Times New Roman" w:eastAsia="Times New Roman"/>
          <w:b/>
          <w:i w:val="0"/>
          <w:sz w:val="22"/>
        </w:rPr>
        <w:t>Notas.</w:t>
      </w:r>
    </w:p>
    <w:p>
      <w:pPr>
        <w:spacing w:after="40"/>
        <w:ind w:left="709" w:hanging="425"/>
      </w:pPr>
      <w:r>
        <w:rPr>
          <w:rFonts w:ascii="Times New Roman" w:hAnsi="Times New Roman" w:cs="Times New Roman" w:eastAsia="Times New Roman"/>
          <w:b w:val="0"/>
          <w:i w:val="0"/>
          <w:sz w:val="22"/>
        </w:rPr>
        <w:t>1. El dimensionamiento por encima del mínimo lo determina el Socio en función del número de Emplazamientos, Máquinas Cubiertas y Dispositivos.</w:t>
      </w:r>
    </w:p>
    <w:p>
      <w:pPr>
        <w:spacing w:after="40"/>
        <w:ind w:left="709" w:hanging="425"/>
      </w:pPr>
      <w:r>
        <w:rPr>
          <w:rFonts w:ascii="Times New Roman" w:hAnsi="Times New Roman" w:cs="Times New Roman" w:eastAsia="Times New Roman"/>
          <w:b w:val="0"/>
          <w:i w:val="0"/>
          <w:sz w:val="22"/>
        </w:rPr>
        <w:t>2. Una Instancia On-Premise puede funcionar íntegramente sin conexión a internet.</w:t>
      </w:r>
    </w:p>
    <w:p>
      <w:pPr>
        <w:spacing w:after="40"/>
        <w:ind w:left="709" w:hanging="425"/>
      </w:pPr>
      <w:r>
        <w:rPr>
          <w:rFonts w:ascii="Times New Roman" w:hAnsi="Times New Roman" w:cs="Times New Roman" w:eastAsia="Times New Roman"/>
          <w:b w:val="0"/>
          <w:i w:val="0"/>
          <w:sz w:val="22"/>
        </w:rPr>
        <w:t>3. La alimentación eléctrica, la refrigeración, la seguridad física de la sala de servidores, las copias de seguridad y la protección frente a software malicioso corresponden a la Contraparte.</w:t>
      </w:r>
    </w:p>
    <w:p>
      <w:pPr>
        <w:spacing w:after="40"/>
        <w:ind w:left="709" w:hanging="425"/>
      </w:pPr>
      <w:r>
        <w:rPr>
          <w:rFonts w:ascii="Times New Roman" w:hAnsi="Times New Roman" w:cs="Times New Roman" w:eastAsia="Times New Roman"/>
          <w:b w:val="0"/>
          <w:i w:val="0"/>
          <w:sz w:val="22"/>
        </w:rPr>
        <w:t>4. Los requisitos de sistema operativo, virtualización y software de terceros figuran en la documentación técnica entregada en el despliegue. Las licencias de software de sistema de terceros las adquiere la Contraparte.</w:t>
      </w:r>
    </w:p>
    <w:p>
      <w:pPr>
        <w:pStyle w:val="Heading1"/>
        <w:keepNext/>
        <w:jc w:val="center"/>
      </w:pPr>
      <w:r>
        <w:rPr>
          <w:rFonts w:ascii="Times New Roman" w:hAnsi="Times New Roman" w:cs="Times New Roman" w:eastAsia="Times New Roman"/>
          <w:b/>
          <w:i w:val="0"/>
          <w:sz w:val="26"/>
        </w:rPr>
        <w:t>ANEXO 6. MODELO DE FORMULARIO DE PEDIDO</w:t>
      </w:r>
    </w:p>
    <w:p>
      <w:r>
        <w:rPr>
          <w:rFonts w:ascii="Times New Roman" w:hAnsi="Times New Roman" w:cs="Times New Roman" w:eastAsia="Times New Roman"/>
          <w:b/>
          <w:i w:val="0"/>
          <w:sz w:val="22"/>
        </w:rPr>
        <w:t>FORMULARIO DE PEDIDO n.º ____ de __ de ________ de 20__</w:t>
      </w:r>
      <w:r>
        <w:rPr>
          <w:rFonts w:ascii="Times New Roman" w:hAnsi="Times New Roman" w:cs="Times New Roman" w:eastAsia="Times New Roman"/>
          <w:b w:val="0"/>
          <w:i w:val="0"/>
          <w:sz w:val="22"/>
        </w:rPr>
        <w:t xml:space="preserve"> conforme a las Condiciones de Licencia de ARSY AI (versión de ____________)</w:t>
      </w:r>
    </w:p>
    <w:tbl>
      <w:tblPr>
        <w:tblStyle w:val="TableGrid"/>
        <w:tblW w:type="auto" w:w="0"/>
        <w:jc w:val="center"/>
        <w:tblLayout w:type="autofit"/>
        <w:tblLook w:firstColumn="1" w:firstRow="1" w:lastColumn="0" w:lastRow="0" w:noHBand="0" w:noVBand="1" w:val="04A0"/>
      </w:tblPr>
      <w:tblGrid>
        <w:gridCol w:w="3118"/>
        <w:gridCol w:w="3118"/>
        <w:gridCol w:w="3118"/>
      </w:tblGrid>
      <w:tr>
        <w:trPr>
          <w:tblHeader w:val="true"/>
        </w:trPr>
        <w:tc>
          <w:tcPr>
            <w:tcW w:type="dxa" w:w="3118"/>
            <w:shd w:val="clear" w:fill="EDEDED"/>
          </w:tcPr>
          <w:p>
            <w:pPr>
              <w:spacing w:after="20" w:before="20" w:line="240" w:lineRule="auto"/>
              <w:ind w:firstLine="0"/>
              <w:jc w:val="center"/>
            </w:pPr>
            <w:r/>
            <w:r>
              <w:rPr>
                <w:rFonts w:ascii="Times New Roman" w:hAnsi="Times New Roman" w:cs="Times New Roman" w:eastAsia="Times New Roman"/>
                <w:b/>
                <w:i w:val="0"/>
                <w:sz w:val="18"/>
              </w:rPr>
              <w:t>N.º</w:t>
            </w:r>
          </w:p>
        </w:tc>
        <w:tc>
          <w:tcPr>
            <w:tcW w:type="dxa" w:w="3118"/>
            <w:shd w:val="clear" w:fill="EDEDED"/>
          </w:tcPr>
          <w:p>
            <w:pPr>
              <w:spacing w:after="20" w:before="20" w:line="240" w:lineRule="auto"/>
              <w:ind w:firstLine="0"/>
              <w:jc w:val="center"/>
            </w:pPr>
            <w:r/>
            <w:r>
              <w:rPr>
                <w:rFonts w:ascii="Times New Roman" w:hAnsi="Times New Roman" w:cs="Times New Roman" w:eastAsia="Times New Roman"/>
                <w:b/>
                <w:i w:val="0"/>
                <w:sz w:val="18"/>
              </w:rPr>
              <w:t>Concepto</w:t>
            </w:r>
          </w:p>
        </w:tc>
        <w:tc>
          <w:tcPr>
            <w:tcW w:type="dxa" w:w="3118"/>
            <w:shd w:val="clear" w:fill="EDEDED"/>
          </w:tcPr>
          <w:p>
            <w:pPr>
              <w:spacing w:after="20" w:before="20" w:line="240" w:lineRule="auto"/>
              <w:ind w:firstLine="0"/>
              <w:jc w:val="center"/>
            </w:pPr>
            <w:r/>
            <w:r>
              <w:rPr>
                <w:rFonts w:ascii="Times New Roman" w:hAnsi="Times New Roman" w:cs="Times New Roman" w:eastAsia="Times New Roman"/>
                <w:b/>
                <w:i w:val="0"/>
                <w:sz w:val="18"/>
              </w:rPr>
              <w:t>Valor</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Contraparte (denominación completa, número de registro, domicilio social)</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2</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Condición</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Socio (integrador certificado)</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3</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Plan</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Lite / Starter / Professional / Enterprise</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4</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Modelo de Despliegue</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Nube Gestionada / On-Premise</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5</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Emplazamientos (nombre, dirección)</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6</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Número de Máquinas Cubiertas</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7</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Número de Dispositivos</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8</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Opciones (integraciones, lógica a medida, otras)</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9</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Plazo de Licencia (inicio — fin)</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10</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Período de Facturación</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Mensual / Anual</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11</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Renovación automática</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Sí / No</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12</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Contraprestación por Período de Facturación</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13</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Condiciones de pago</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14</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Moneda</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USD / EUR / otra</w:t>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15</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Región de alojamiento (Nube Gestionada)</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16</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Socio responsable de la implantación y del soporte de primer nivel</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17</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Persona de contacto (nombre, cargo, teléfono, correo)</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18</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Correo electrónico para comunicaciones formales</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Times New Roman"/>
                <w:b w:val="0"/>
                <w:i w:val="0"/>
                <w:sz w:val="18"/>
              </w:rPr>
              <w:t>19</w:t>
            </w:r>
          </w:p>
        </w:tc>
        <w:tc>
          <w:tcPr>
            <w:tcW w:type="dxa" w:w="3118"/>
          </w:tcPr>
          <w:p>
            <w:pPr>
              <w:spacing w:after="20" w:before="20" w:line="240" w:lineRule="auto"/>
              <w:ind w:firstLine="0"/>
              <w:jc w:val="center"/>
            </w:pPr>
            <w:r/>
            <w:r>
              <w:rPr>
                <w:rFonts w:ascii="Times New Roman" w:hAnsi="Times New Roman" w:cs="Times New Roman" w:eastAsia="Times New Roman"/>
                <w:b w:val="0"/>
                <w:i w:val="0"/>
                <w:sz w:val="18"/>
              </w:rPr>
              <w:t>Condiciones particulares</w:t>
            </w:r>
          </w:p>
        </w:tc>
        <w:tc>
          <w:tcPr>
            <w:tcW w:type="dxa" w:w="3118"/>
          </w:tcPr>
          <w:p>
            <w:pPr>
              <w:spacing w:after="20" w:before="20" w:line="240" w:lineRule="auto"/>
              <w:ind w:firstLine="0"/>
              <w:jc w:val="center"/>
            </w:pPr>
            <w:r/>
          </w:p>
        </w:tc>
      </w:tr>
    </w:tbl>
    <w:p>
      <w:pPr>
        <w:spacing w:after="80"/>
      </w:pPr>
    </w:p>
    <w:p>
      <w:r>
        <w:rPr>
          <w:rFonts w:ascii="Times New Roman" w:hAnsi="Times New Roman" w:cs="Times New Roman" w:eastAsia="Times New Roman"/>
          <w:b w:val="0"/>
          <w:i w:val="0"/>
          <w:sz w:val="22"/>
        </w:rPr>
        <w:t>Con la firma de este Formulario de Pedido, o con el pago de una factura emitida con base en él, la Contraparte acepta íntegramente las Condiciones de Licencia de ARSY AI en la versión indicada.</w:t>
      </w:r>
    </w:p>
    <w:p>
      <w:r>
        <w:rPr>
          <w:rFonts w:ascii="Times New Roman" w:hAnsi="Times New Roman" w:cs="Times New Roman" w:eastAsia="Times New Roman"/>
          <w:b/>
          <w:i w:val="0"/>
          <w:sz w:val="22"/>
        </w:rPr>
        <w:t>Licenciante:</w:t>
      </w:r>
      <w:r>
        <w:rPr>
          <w:rFonts w:ascii="Times New Roman" w:hAnsi="Times New Roman" w:cs="Times New Roman" w:eastAsia="Times New Roman"/>
          <w:b w:val="0"/>
          <w:i w:val="0"/>
          <w:sz w:val="22"/>
        </w:rPr>
        <w:t xml:space="preserve"> ____________________ / ____________ / </w:t>
      </w:r>
      <w:r>
        <w:rPr>
          <w:rFonts w:ascii="Times New Roman" w:hAnsi="Times New Roman" w:cs="Times New Roman" w:eastAsia="Times New Roman"/>
          <w:b/>
          <w:i w:val="0"/>
          <w:sz w:val="22"/>
        </w:rPr>
        <w:t>Contraparte:</w:t>
      </w:r>
      <w:r>
        <w:rPr>
          <w:rFonts w:ascii="Times New Roman" w:hAnsi="Times New Roman" w:cs="Times New Roman" w:eastAsia="Times New Roman"/>
          <w:b w:val="0"/>
          <w:i w:val="0"/>
          <w:sz w:val="22"/>
        </w:rPr>
        <w:t xml:space="preserve"> ____________________ / ____________ /</w:t>
      </w:r>
    </w:p>
    <w:p>
      <w:pPr>
        <w:pStyle w:val="Heading1"/>
        <w:keepNext/>
        <w:jc w:val="center"/>
      </w:pPr>
      <w:r>
        <w:rPr>
          <w:rFonts w:ascii="Times New Roman" w:hAnsi="Times New Roman" w:cs="Times New Roman" w:eastAsia="Times New Roman"/>
          <w:b/>
          <w:i w:val="0"/>
          <w:sz w:val="26"/>
        </w:rPr>
        <w:t>DATOS DEL LICENCIANTE</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Denominación</w:t>
            </w:r>
          </w:p>
        </w:tc>
        <w:tc>
          <w:tcPr>
            <w:tcW w:type="dxa" w:w="4677"/>
            <w:shd w:val="clear" w:fill="EDEDED"/>
          </w:tcPr>
          <w:p>
            <w:pPr>
              <w:spacing w:after="20" w:before="20" w:line="240" w:lineRule="auto"/>
              <w:ind w:firstLine="0"/>
              <w:jc w:val="center"/>
            </w:pPr>
            <w:r/>
            <w:r>
              <w:rPr>
                <w:rFonts w:ascii="Times New Roman" w:hAnsi="Times New Roman" w:cs="Times New Roman" w:eastAsia="Times New Roman"/>
                <w:b/>
                <w:i w:val="0"/>
                <w:sz w:val="18"/>
              </w:rPr>
              <w:t>web-ar.studio Corp</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Forma jurídica</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Sociedad anónima de Delaware, constituida el 13 de febrero de 2023</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Número de registro en Delaware</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7294738</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Domicilio social</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1007 N Orange St, 4th Floor, Suite 1382, Wilmington, New Castle County, DE 19801</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Agente registrado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Firstbase Agent LLC</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Establecimiento principal</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447 Broadway, 2nd Floor, 1156, New York, NY 10013, Estados Unidos</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Correo electrónico</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support@arsy.ai</w:t>
            </w:r>
          </w:p>
        </w:tc>
      </w:tr>
      <w:tr>
        <w:tc>
          <w:tcPr>
            <w:tcW w:type="dxa" w:w="4677"/>
          </w:tcPr>
          <w:p>
            <w:pPr>
              <w:spacing w:after="20" w:before="20" w:line="240" w:lineRule="auto"/>
              <w:ind w:firstLine="0"/>
              <w:jc w:val="left"/>
            </w:pPr>
            <w:r/>
            <w:r>
              <w:rPr>
                <w:rFonts w:ascii="Times New Roman" w:hAnsi="Times New Roman" w:cs="Times New Roman" w:eastAsia="Times New Roman"/>
                <w:b w:val="0"/>
                <w:i w:val="0"/>
                <w:sz w:val="18"/>
              </w:rPr>
              <w:t>Sitio web</w:t>
            </w:r>
          </w:p>
        </w:tc>
        <w:tc>
          <w:tcPr>
            <w:tcW w:type="dxa" w:w="4677"/>
          </w:tcPr>
          <w:p>
            <w:pPr>
              <w:spacing w:after="20" w:before="20" w:line="240" w:lineRule="auto"/>
              <w:ind w:firstLine="0"/>
              <w:jc w:val="center"/>
            </w:pPr>
            <w:r/>
            <w:r>
              <w:rPr>
                <w:rFonts w:ascii="Times New Roman" w:hAnsi="Times New Roman" w:cs="Times New Roman" w:eastAsia="Times New Roman"/>
                <w:b w:val="0"/>
                <w:i w:val="0"/>
                <w:sz w:val="18"/>
              </w:rPr>
              <w:t>https://arsy.ai</w:t>
            </w:r>
          </w:p>
        </w:tc>
      </w:tr>
    </w:tbl>
    <w:p>
      <w:pPr>
        <w:spacing w:after="80"/>
      </w:pPr>
    </w:p>
    <w:p>
      <w:r>
        <w:rPr>
          <w:rFonts w:ascii="Times New Roman" w:hAnsi="Times New Roman" w:cs="Times New Roman" w:eastAsia="Times New Roman"/>
          <w:b w:val="0"/>
          <w:i w:val="0"/>
          <w:sz w:val="22"/>
        </w:rPr>
        <w:t>Los datos bancarios del Licenciante figuran en el Formulario de Pedido y en la factura emitida con base en él.</w:t>
      </w:r>
    </w:p>
    <w:sectPr w:rsidR="00FC693F" w:rsidRPr="0006063C" w:rsidSect="00034616">
      <w:footerReference w:type="default" r:id="rId9"/>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ind w:firstLine="0"/>
      <w:jc w:val="center"/>
    </w:pPr>
    <w:r>
      <w:rPr>
        <w:rFonts w:ascii="Times New Roman" w:hAnsi="Times New Roman" w:cs="Times New Roman" w:eastAsia="Times New Roman"/>
        <w:color w:val="606060"/>
        <w:sz w:val="16"/>
      </w:rPr>
      <w:t xml:space="preserve">Condiciones de Licencia ARSY AI · mundial · vía integrador · versión 23.07.2026 · pág. </w:t>
    </w:r>
    <w:r>
      <w:rPr>
        <w:rFonts w:ascii="Times New Roman" w:hAnsi="Times New Roman" w:cs="Times New Roman" w:eastAsia="Times New Roman"/>
        <w:color w:val="606060"/>
        <w:sz w:val="16"/>
      </w:rPr>
      <w:fldChar w:fldCharType="begin"/>
      <w:instrText xml:space="preserve">PAGE</w:instrText>
      <w:fldChar w:fldCharType="separate"/>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20" w:line="276" w:lineRule="auto"/>
      <w:ind w:firstLine="709"/>
      <w:jc w:val="both"/>
    </w:pPr>
    <w:rPr>
      <w:rFonts w:ascii="Times New Roman" w:hAnsi="Times New Roman" w:cs="Times New Roman" w:eastAsia="Times New Roman"/>
      <w:color w:val="000000"/>
      <w:sz w:val="22"/>
      <w:lang w:val="es-ES"/>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40" w:lineRule="auto"/>
      <w:ind w:firstLine="0"/>
      <w:jc w:val="left"/>
      <w:outlineLvl w:val="0"/>
    </w:pPr>
    <w:rPr>
      <w:rFonts w:asciiTheme="majorHAnsi" w:eastAsiaTheme="majorEastAsia" w:hAnsiTheme="majorHAnsi" w:cstheme="majorBidi" w:ascii="Times New Roman" w:hAnsi="Times New Roman" w:cs="Times New Roman" w:eastAsia="Times New Roman"/>
      <w:b/>
      <w:bCs/>
      <w:i w:val="0"/>
      <w:color w:val="000000"/>
      <w:sz w:val="26"/>
      <w:szCs w:val="28"/>
    </w:rPr>
  </w:style>
  <w:style w:type="paragraph" w:styleId="Heading2">
    <w:name w:val="heading 2"/>
    <w:basedOn w:val="Normal"/>
    <w:next w:val="Normal"/>
    <w:link w:val="Heading2Char"/>
    <w:uiPriority w:val="9"/>
    <w:unhideWhenUsed/>
    <w:qFormat/>
    <w:rsid w:val="00FC693F"/>
    <w:pPr>
      <w:keepNext/>
      <w:keepLines/>
      <w:spacing w:before="280" w:after="120" w:line="240" w:lineRule="auto"/>
      <w:ind w:firstLine="0"/>
      <w:jc w:val="left"/>
      <w:outlineLvl w:val="1"/>
    </w:pPr>
    <w:rPr>
      <w:rFonts w:asciiTheme="majorHAnsi" w:eastAsiaTheme="majorEastAsia" w:hAnsiTheme="majorHAnsi" w:cstheme="majorBidi" w:ascii="Times New Roman" w:hAnsi="Times New Roman" w:cs="Times New Roman" w:eastAsia="Times New Roman"/>
      <w:b/>
      <w:bCs/>
      <w:i w:val="0"/>
      <w:color w:val="000000"/>
      <w:sz w:val="23"/>
      <w:szCs w:val="26"/>
    </w:rPr>
  </w:style>
  <w:style w:type="paragraph" w:styleId="Heading3">
    <w:name w:val="heading 3"/>
    <w:basedOn w:val="Normal"/>
    <w:next w:val="Normal"/>
    <w:link w:val="Heading3Char"/>
    <w:uiPriority w:val="9"/>
    <w:unhideWhenUsed/>
    <w:qFormat/>
    <w:rsid w:val="00FC693F"/>
    <w:pPr>
      <w:keepNext/>
      <w:keepLines/>
      <w:spacing w:before="200" w:after="80" w:line="240" w:lineRule="auto"/>
      <w:ind w:firstLine="0"/>
      <w:jc w:val="left"/>
      <w:outlineLvl w:val="2"/>
    </w:pPr>
    <w:rPr>
      <w:rFonts w:asciiTheme="majorHAnsi" w:eastAsiaTheme="majorEastAsia" w:hAnsiTheme="majorHAnsi" w:cstheme="majorBidi" w:ascii="Times New Roman" w:hAnsi="Times New Roman" w:cs="Times New Roman" w:eastAsia="Times New Roman"/>
      <w:b/>
      <w:bCs/>
      <w:i w:val="0"/>
      <w:color w:val="00000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