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0" w:after="120"/>
        <w:ind w:firstLine="0"/>
        <w:jc w:val="center"/>
      </w:pPr>
      <w:r>
        <w:rPr>
          <w:rFonts w:ascii="Times New Roman" w:hAnsi="Times New Roman" w:cs="Times New Roman" w:eastAsia="Times New Roman"/>
          <w:b/>
          <w:sz w:val="36"/>
          <w:rtl/>
        </w:rPr>
        <w:t>شروط ترخيص ARSY AI</w:t>
      </w:r>
    </w:p>
    <w:p>
      <w:pPr>
        <w:spacing w:after="480"/>
        <w:ind w:firstLine="0"/>
        <w:jc w:val="center"/>
      </w:pPr>
      <w:r>
        <w:rPr>
          <w:rFonts w:ascii="Times New Roman" w:hAnsi="Times New Roman" w:cs="Times New Roman" w:eastAsia="Times New Roman"/>
          <w:sz w:val="26"/>
          <w:rtl/>
        </w:rPr>
        <w:t>عرض عام لإبرام عقد ترخيص بشأن برمجية ARSY AI — للعملاء (تعاقد مباشر)</w:t>
      </w:r>
    </w:p>
    <w:p>
      <w:pPr>
        <w:ind w:firstLine="0"/>
        <w:jc w:val="center"/>
      </w:pPr>
      <w:r>
        <w:rPr>
          <w:rFonts w:ascii="Times New Roman" w:hAnsi="Times New Roman" w:cs="Times New Roman" w:eastAsia="Times New Roman"/>
          <w:b/>
          <w:i w:val="0"/>
          <w:sz w:val="22"/>
          <w:rtl/>
        </w:rPr>
        <w:t>إصدار 23 يوليو 2026. يسري اعتبارًا من 1 أغسطس 2026.</w:t>
      </w:r>
      <w:r>
        <w:rPr>
          <w:rFonts w:ascii="Times New Roman" w:hAnsi="Times New Roman" w:cs="Times New Roman" w:eastAsia="Times New Roman"/>
          <w:b w:val="0"/>
          <w:i w:val="0"/>
          <w:sz w:val="22"/>
          <w:rtl/>
        </w:rPr>
        <w:t xml:space="preserve"> النسخة السارية منشورة على: https://arsy.ai/ar/offer/customer</w:t>
      </w:r>
    </w:p>
    <w:p>
      <w:pPr>
        <w:ind w:firstLine="0"/>
        <w:jc w:val="center"/>
      </w:pPr>
      <w:r>
        <w:rPr>
          <w:rFonts w:ascii="Times New Roman" w:hAnsi="Times New Roman" w:cs="Times New Roman" w:eastAsia="Times New Roman"/>
          <w:b/>
          <w:i w:val="0"/>
          <w:sz w:val="22"/>
          <w:rtl/>
        </w:rPr>
        <w:t>تنبيه: هذه النسخة العربية ترجمة غير مُلزِمة، وتُقدَّم لتيسير القراءة فقط. النسخة الإنجليزية وحدها هي المُلزِمة قانونًا (البند C.17.6). وعند أي اختلاف، يسود النص الإنجليزي.</w:t>
      </w:r>
    </w:p>
    <w:p>
      <w:pPr>
        <w:pageBreakBefore/>
        <w:spacing w:after="240"/>
        <w:ind w:firstLine="0"/>
        <w:jc w:val="center"/>
      </w:pPr>
      <w:r>
        <w:rPr>
          <w:rFonts w:ascii="Times New Roman" w:hAnsi="Times New Roman" w:cs="Times New Roman" w:eastAsia="Times New Roman"/>
          <w:b/>
          <w:sz w:val="26"/>
          <w:rtl/>
        </w:rPr>
        <w:t>الفهرس</w:t>
      </w:r>
    </w:p>
    <w:p>
      <w:pPr>
        <w:ind w:firstLine="0"/>
      </w:pPr>
      <w:r>
        <w:fldChar w:fldCharType="begin"/>
        <w:instrText xml:space="preserve">TOC \o "1-2" \h \z \u</w:instrText>
        <w:fldChar w:fldCharType="separate"/>
        <w:fldChar w:fldCharType="end"/>
      </w:r>
    </w:p>
    <w:p>
      <w:pPr>
        <w:ind w:firstLine="0"/>
        <w:jc w:val="center"/>
      </w:pPr>
      <w:r>
        <w:rPr>
          <w:rFonts w:ascii="Times New Roman" w:hAnsi="Times New Roman" w:cs="Times New Roman" w:eastAsia="Times New Roman"/>
          <w:i/>
          <w:color w:val="808080"/>
          <w:sz w:val="16"/>
          <w:rtl/>
        </w:rPr>
        <w:t>(إذا كان الفهرس فارغًا، فحدده واضغط F9)</w:t>
      </w:r>
    </w:p>
    <w:p>
      <w:pPr>
        <w:pStyle w:val="Heading2"/>
        <w:keepNext/>
        <w:pageBreakBefore/>
      </w:pPr>
      <w:r>
        <w:rPr>
          <w:rFonts w:ascii="Times New Roman" w:hAnsi="Times New Roman" w:cs="Times New Roman" w:eastAsia="Times New Roman"/>
          <w:b/>
          <w:i w:val="0"/>
          <w:sz w:val="23"/>
          <w:rtl/>
        </w:rPr>
        <w:t>التمهيد</w:t>
      </w:r>
    </w:p>
    <w:p>
      <w:r>
        <w:rPr>
          <w:rFonts w:ascii="Times New Roman" w:hAnsi="Times New Roman" w:cs="Times New Roman" w:eastAsia="Times New Roman"/>
          <w:b w:val="0"/>
          <w:i w:val="0"/>
          <w:sz w:val="22"/>
          <w:rtl/>
        </w:rPr>
        <w:t xml:space="preserve">إن </w:t>
      </w:r>
      <w:r>
        <w:rPr>
          <w:rFonts w:ascii="Times New Roman" w:hAnsi="Times New Roman" w:cs="Times New Roman" w:eastAsia="Times New Roman"/>
          <w:b/>
          <w:i w:val="0"/>
          <w:sz w:val="22"/>
          <w:rtl/>
        </w:rPr>
        <w:t>web-ar.studio Corp</w:t>
      </w:r>
      <w:r>
        <w:rPr>
          <w:rFonts w:ascii="Times New Roman" w:hAnsi="Times New Roman" w:cs="Times New Roman" w:eastAsia="Times New Roman"/>
          <w:b w:val="0"/>
          <w:i w:val="0"/>
          <w:sz w:val="22"/>
          <w:rtl/>
        </w:rPr>
        <w:t>، وهي شركة مساهمة مؤسَّسة بموجب القانون العام للشركات لولاية ديلاوير بتاريخ 13 فبراير 2023 برقم تسجيل (file number) 7294738، ومقرها المسجَّل في 1007 N Orange St, 4th Floor, Suite 1382, Wilmington, New Castle County, Delaware 19801 (الوكيل المسجَّل: Firstbase Agent LLC)، ومقر عملها الرئيسي في 447 Broadway, 2nd Floor, 1156, New York, NY 10013, الولايات المتحدة الأمريكية — والمشار إليها في هذه الشروط بـ</w:t>
      </w:r>
      <w:r>
        <w:rPr>
          <w:rFonts w:ascii="Times New Roman" w:hAnsi="Times New Roman" w:cs="Times New Roman" w:eastAsia="Times New Roman"/>
          <w:b/>
          <w:i w:val="0"/>
          <w:sz w:val="22"/>
          <w:rtl/>
        </w:rPr>
        <w:t>«Web-AR.Studio Corp»</w:t>
      </w:r>
      <w:r>
        <w:rPr>
          <w:rFonts w:ascii="Times New Roman" w:hAnsi="Times New Roman" w:cs="Times New Roman" w:eastAsia="Times New Roman"/>
          <w:b w:val="0"/>
          <w:i w:val="0"/>
          <w:sz w:val="22"/>
          <w:rtl/>
        </w:rPr>
        <w:t xml:space="preserve"> أو </w:t>
      </w:r>
      <w:r>
        <w:rPr>
          <w:rFonts w:ascii="Times New Roman" w:hAnsi="Times New Roman" w:cs="Times New Roman" w:eastAsia="Times New Roman"/>
          <w:b/>
          <w:i w:val="0"/>
          <w:sz w:val="22"/>
          <w:rtl/>
        </w:rPr>
        <w:t>«المرخِّص»</w:t>
      </w:r>
      <w:r>
        <w:rPr>
          <w:rFonts w:ascii="Times New Roman" w:hAnsi="Times New Roman" w:cs="Times New Roman" w:eastAsia="Times New Roman"/>
          <w:b w:val="0"/>
          <w:i w:val="0"/>
          <w:sz w:val="22"/>
          <w:rtl/>
        </w:rPr>
        <w:t xml:space="preserve"> أو </w:t>
      </w:r>
      <w:r>
        <w:rPr>
          <w:rFonts w:ascii="Times New Roman" w:hAnsi="Times New Roman" w:cs="Times New Roman" w:eastAsia="Times New Roman"/>
          <w:b/>
          <w:i w:val="0"/>
          <w:sz w:val="22"/>
          <w:rtl/>
        </w:rPr>
        <w:t>«نحن»</w:t>
      </w:r>
      <w:r>
        <w:rPr>
          <w:rFonts w:ascii="Times New Roman" w:hAnsi="Times New Roman" w:cs="Times New Roman" w:eastAsia="Times New Roman"/>
          <w:b w:val="0"/>
          <w:i w:val="0"/>
          <w:sz w:val="22"/>
          <w:rtl/>
        </w:rPr>
        <w:t xml:space="preserve"> — هي مالكة حقوق الملكية الفكرية في منصة ARSY AI في الإقليم الذي تشمله هذه الشروط، وتنشر بموجب هذا هذا العرض.</w:t>
      </w:r>
    </w:p>
    <w:p>
      <w:r>
        <w:rPr>
          <w:rFonts w:ascii="Times New Roman" w:hAnsi="Times New Roman" w:cs="Times New Roman" w:eastAsia="Times New Roman"/>
          <w:b w:val="0"/>
          <w:i w:val="0"/>
          <w:sz w:val="22"/>
          <w:rtl/>
        </w:rPr>
        <w:t>تشكّل هذه الشروط إيجابًا مُلزِمًا قابلًا للقبول. ويجوز لأي شخص اعتباري يستوفي متطلبات البند 3.1 (</w:t>
      </w:r>
      <w:r>
        <w:rPr>
          <w:rFonts w:ascii="Times New Roman" w:hAnsi="Times New Roman" w:cs="Times New Roman" w:eastAsia="Times New Roman"/>
          <w:b/>
          <w:i w:val="0"/>
          <w:sz w:val="22"/>
          <w:rtl/>
        </w:rPr>
        <w:t>«الطرف المقابل»</w:t>
      </w:r>
      <w:r>
        <w:rPr>
          <w:rFonts w:ascii="Times New Roman" w:hAnsi="Times New Roman" w:cs="Times New Roman" w:eastAsia="Times New Roman"/>
          <w:b w:val="0"/>
          <w:i w:val="0"/>
          <w:sz w:val="22"/>
          <w:rtl/>
        </w:rPr>
        <w:t xml:space="preserve">، </w:t>
      </w:r>
      <w:r>
        <w:rPr>
          <w:rFonts w:ascii="Times New Roman" w:hAnsi="Times New Roman" w:cs="Times New Roman" w:eastAsia="Times New Roman"/>
          <w:b/>
          <w:i w:val="0"/>
          <w:sz w:val="22"/>
          <w:rtl/>
        </w:rPr>
        <w:t>«أنت»</w:t>
      </w:r>
      <w:r>
        <w:rPr>
          <w:rFonts w:ascii="Times New Roman" w:hAnsi="Times New Roman" w:cs="Times New Roman" w:eastAsia="Times New Roman"/>
          <w:b w:val="0"/>
          <w:i w:val="0"/>
          <w:sz w:val="22"/>
          <w:rtl/>
        </w:rPr>
        <w:t>) أن يبرم عقد ترخيص مع المرخِّص بأداء أي من أفعال القبول المبيَّنة في البند 3.2. ولا يُشترط التوقيع، وإن جاز طلبه.</w:t>
      </w:r>
    </w:p>
    <w:p>
      <w:r>
        <w:rPr>
          <w:rFonts w:ascii="Times New Roman" w:hAnsi="Times New Roman" w:cs="Times New Roman" w:eastAsia="Times New Roman"/>
          <w:b/>
          <w:i w:val="0"/>
          <w:sz w:val="22"/>
          <w:rtl/>
        </w:rPr>
        <w:t>يُرجى قراءة هذه الشروط بعناية. فأي فعل قبول يُلزِمك بها كاملةً.</w:t>
      </w:r>
    </w:p>
    <w:p>
      <w:pPr>
        <w:pStyle w:val="Heading1"/>
        <w:keepNext/>
        <w:jc w:val="center"/>
      </w:pPr>
      <w:r>
        <w:rPr>
          <w:rFonts w:ascii="Times New Roman" w:hAnsi="Times New Roman" w:cs="Times New Roman" w:eastAsia="Times New Roman"/>
          <w:b/>
          <w:i w:val="0"/>
          <w:sz w:val="26"/>
          <w:rtl/>
        </w:rPr>
        <w:t>القسم العام</w:t>
      </w:r>
    </w:p>
    <w:p>
      <w:pPr>
        <w:pStyle w:val="Heading2"/>
        <w:keepNext/>
      </w:pPr>
      <w:r>
        <w:rPr>
          <w:rFonts w:ascii="Times New Roman" w:hAnsi="Times New Roman" w:cs="Times New Roman" w:eastAsia="Times New Roman"/>
          <w:b/>
          <w:i w:val="0"/>
          <w:sz w:val="23"/>
          <w:rtl/>
        </w:rPr>
        <w:t>1. البنية وترتيب الأولوية</w:t>
      </w:r>
    </w:p>
    <w:p>
      <w:r>
        <w:rPr>
          <w:rFonts w:ascii="Times New Roman" w:hAnsi="Times New Roman" w:cs="Times New Roman" w:eastAsia="Times New Roman"/>
          <w:b w:val="0"/>
          <w:i w:val="0"/>
          <w:sz w:val="22"/>
          <w:rtl/>
        </w:rPr>
        <w:t>1.1. تتألف هذه الشروط من:</w:t>
      </w:r>
    </w:p>
    <w:p>
      <w:pPr>
        <w:spacing w:after="40"/>
        <w:ind w:right="709" w:hanging="283"/>
      </w:pPr>
      <w:r>
        <w:rPr>
          <w:rFonts w:ascii="Times New Roman" w:hAnsi="Times New Roman" w:cs="Times New Roman" w:eastAsia="Times New Roman"/>
          <w:b w:val="0"/>
          <w:i w:val="0"/>
          <w:sz w:val="22"/>
          <w:rtl/>
        </w:rPr>
        <w:t xml:space="preserve">— </w:t>
      </w:r>
      <w:r>
        <w:rPr>
          <w:rFonts w:ascii="Times New Roman" w:hAnsi="Times New Roman" w:cs="Times New Roman" w:eastAsia="Times New Roman"/>
          <w:b/>
          <w:i w:val="0"/>
          <w:sz w:val="22"/>
          <w:rtl/>
        </w:rPr>
        <w:t>القسم العام</w:t>
      </w:r>
      <w:r>
        <w:rPr>
          <w:rFonts w:ascii="Times New Roman" w:hAnsi="Times New Roman" w:cs="Times New Roman" w:eastAsia="Times New Roman"/>
          <w:b w:val="0"/>
          <w:i w:val="0"/>
          <w:sz w:val="22"/>
          <w:rtl/>
        </w:rPr>
        <w:t xml:space="preserve"> (البنود 1 إلى 4)؛</w:t>
      </w:r>
    </w:p>
    <w:p>
      <w:pPr>
        <w:spacing w:after="40"/>
        <w:ind w:right="709" w:hanging="283"/>
      </w:pPr>
      <w:r>
        <w:rPr>
          <w:rFonts w:ascii="Times New Roman" w:hAnsi="Times New Roman" w:cs="Times New Roman" w:eastAsia="Times New Roman"/>
          <w:b w:val="0"/>
          <w:i w:val="0"/>
          <w:sz w:val="22"/>
          <w:rtl/>
        </w:rPr>
        <w:t xml:space="preserve">— </w:t>
      </w:r>
      <w:r>
        <w:rPr>
          <w:rFonts w:ascii="Times New Roman" w:hAnsi="Times New Roman" w:cs="Times New Roman" w:eastAsia="Times New Roman"/>
          <w:b/>
          <w:i w:val="0"/>
          <w:sz w:val="22"/>
          <w:rtl/>
        </w:rPr>
        <w:t>الجزء A</w:t>
      </w:r>
      <w:r>
        <w:rPr>
          <w:rFonts w:ascii="Times New Roman" w:hAnsi="Times New Roman" w:cs="Times New Roman" w:eastAsia="Times New Roman"/>
          <w:b w:val="0"/>
          <w:i w:val="0"/>
          <w:sz w:val="22"/>
          <w:rtl/>
        </w:rPr>
        <w:t xml:space="preserve"> — شروط الترخيص الممنوح للعميل؛</w:t>
      </w:r>
    </w:p>
    <w:p>
      <w:pPr>
        <w:spacing w:after="40"/>
        <w:ind w:right="709" w:hanging="283"/>
      </w:pPr>
      <w:r>
        <w:rPr>
          <w:rFonts w:ascii="Times New Roman" w:hAnsi="Times New Roman" w:cs="Times New Roman" w:eastAsia="Times New Roman"/>
          <w:b w:val="0"/>
          <w:i w:val="0"/>
          <w:sz w:val="22"/>
          <w:rtl/>
        </w:rPr>
        <w:t xml:space="preserve">— </w:t>
      </w:r>
      <w:r>
        <w:rPr>
          <w:rFonts w:ascii="Times New Roman" w:hAnsi="Times New Roman" w:cs="Times New Roman" w:eastAsia="Times New Roman"/>
          <w:b/>
          <w:i w:val="0"/>
          <w:sz w:val="22"/>
          <w:rtl/>
        </w:rPr>
        <w:t>الجزء C</w:t>
      </w:r>
      <w:r>
        <w:rPr>
          <w:rFonts w:ascii="Times New Roman" w:hAnsi="Times New Roman" w:cs="Times New Roman" w:eastAsia="Times New Roman"/>
          <w:b w:val="0"/>
          <w:i w:val="0"/>
          <w:sz w:val="22"/>
          <w:rtl/>
        </w:rPr>
        <w:t xml:space="preserve"> — الشروط العامة؛</w:t>
      </w:r>
    </w:p>
    <w:p>
      <w:pPr>
        <w:spacing w:after="40"/>
        <w:ind w:right="709" w:hanging="283"/>
      </w:pPr>
      <w:r>
        <w:rPr>
          <w:rFonts w:ascii="Times New Roman" w:hAnsi="Times New Roman" w:cs="Times New Roman" w:eastAsia="Times New Roman"/>
          <w:b w:val="0"/>
          <w:i w:val="0"/>
          <w:sz w:val="22"/>
          <w:rtl/>
        </w:rPr>
        <w:t xml:space="preserve">— </w:t>
      </w:r>
      <w:r>
        <w:rPr>
          <w:rFonts w:ascii="Times New Roman" w:hAnsi="Times New Roman" w:cs="Times New Roman" w:eastAsia="Times New Roman"/>
          <w:b/>
          <w:i w:val="0"/>
          <w:sz w:val="22"/>
          <w:rtl/>
        </w:rPr>
        <w:t>الملاحق 1 إلى 6</w:t>
      </w:r>
      <w:r>
        <w:rPr>
          <w:rFonts w:ascii="Times New Roman" w:hAnsi="Times New Roman" w:cs="Times New Roman" w:eastAsia="Times New Roman"/>
          <w:b w:val="0"/>
          <w:i w:val="0"/>
          <w:sz w:val="22"/>
          <w:rtl/>
        </w:rPr>
        <w:t>، ويُعدّ كل منها جزءًا لا يتجزأ من هذه الشروط.</w:t>
      </w:r>
    </w:p>
    <w:p>
      <w:r>
        <w:rPr>
          <w:rFonts w:ascii="Times New Roman" w:hAnsi="Times New Roman" w:cs="Times New Roman" w:eastAsia="Times New Roman"/>
          <w:b w:val="0"/>
          <w:i w:val="0"/>
          <w:sz w:val="22"/>
          <w:rtl/>
        </w:rPr>
        <w:t>1.2. تحكم هذه الشروط المنحَ المباشر لحقوق البرمجية من المرخِّص إلى العميل، دون شريك تكامل. أما المنح عبر شركاء التكامل المعتمدين فيخضع لعرض عام مستقل منشور على https://arsy.ai/ar/offer/partner.</w:t>
      </w:r>
    </w:p>
    <w:p>
      <w:r>
        <w:rPr>
          <w:rFonts w:ascii="Times New Roman" w:hAnsi="Times New Roman" w:cs="Times New Roman" w:eastAsia="Times New Roman"/>
          <w:b w:val="0"/>
          <w:i w:val="0"/>
          <w:sz w:val="22"/>
          <w:rtl/>
        </w:rPr>
        <w:t>1.2.1. ترقيم البنود والملاحق موحَّد في جميع نسخ عرض ARSY AI: فالإحالة إلى بند (مثل C.10.2) تعني البند ذاته في كل نسخة. ولا يُعدّ خلوّ هذه النسخة من جزء لا يتعلق بموضوعها إغفالًا.</w:t>
      </w:r>
    </w:p>
    <w:p>
      <w:r>
        <w:rPr>
          <w:rFonts w:ascii="Times New Roman" w:hAnsi="Times New Roman" w:cs="Times New Roman" w:eastAsia="Times New Roman"/>
          <w:b w:val="0"/>
          <w:i w:val="0"/>
          <w:sz w:val="22"/>
          <w:rtl/>
        </w:rPr>
        <w:t xml:space="preserve">1.3. </w:t>
      </w:r>
      <w:r>
        <w:rPr>
          <w:rFonts w:ascii="Times New Roman" w:hAnsi="Times New Roman" w:cs="Times New Roman" w:eastAsia="Times New Roman"/>
          <w:b/>
          <w:i w:val="0"/>
          <w:sz w:val="22"/>
          <w:rtl/>
        </w:rPr>
        <w:t>ترتيب الأولوية.</w:t>
      </w:r>
      <w:r>
        <w:rPr>
          <w:rFonts w:ascii="Times New Roman" w:hAnsi="Times New Roman" w:cs="Times New Roman" w:eastAsia="Times New Roman"/>
          <w:b w:val="0"/>
          <w:i w:val="0"/>
          <w:sz w:val="22"/>
          <w:rtl/>
        </w:rPr>
        <w:t xml:space="preserve"> عند التعارض يُطبَّق الترتيب التالي (من الأعلى إلى الأدنى):</w:t>
      </w:r>
    </w:p>
    <w:p>
      <w:pPr>
        <w:spacing w:after="40"/>
        <w:ind w:right="709" w:hanging="425"/>
      </w:pPr>
      <w:r>
        <w:rPr>
          <w:rFonts w:ascii="Times New Roman" w:hAnsi="Times New Roman" w:cs="Times New Roman" w:eastAsia="Times New Roman"/>
          <w:b w:val="0"/>
          <w:i w:val="0"/>
          <w:sz w:val="22"/>
          <w:rtl/>
        </w:rPr>
        <w:t>1) اتفاق كتابي مستقل موقَّع من الطرفين، في الحدود التي يخرج بها صراحةً عن هذه الشروط؛</w:t>
      </w:r>
    </w:p>
    <w:p>
      <w:pPr>
        <w:spacing w:after="40"/>
        <w:ind w:right="709" w:hanging="425"/>
      </w:pPr>
      <w:r>
        <w:rPr>
          <w:rFonts w:ascii="Times New Roman" w:hAnsi="Times New Roman" w:cs="Times New Roman" w:eastAsia="Times New Roman"/>
          <w:b w:val="0"/>
          <w:i w:val="0"/>
          <w:sz w:val="22"/>
          <w:rtl/>
        </w:rPr>
        <w:t>2) استمارة طلب موقَّعة أو متفَق عليها بطريقة أخرى من الطرفين؛</w:t>
      </w:r>
    </w:p>
    <w:p>
      <w:pPr>
        <w:spacing w:after="40"/>
        <w:ind w:right="709" w:hanging="425"/>
      </w:pPr>
      <w:r>
        <w:rPr>
          <w:rFonts w:ascii="Times New Roman" w:hAnsi="Times New Roman" w:cs="Times New Roman" w:eastAsia="Times New Roman"/>
          <w:b w:val="0"/>
          <w:i w:val="0"/>
          <w:sz w:val="22"/>
          <w:rtl/>
        </w:rPr>
        <w:t>3) الملاحق؛</w:t>
      </w:r>
    </w:p>
    <w:p>
      <w:pPr>
        <w:spacing w:after="40"/>
        <w:ind w:right="709" w:hanging="425"/>
      </w:pPr>
      <w:r>
        <w:rPr>
          <w:rFonts w:ascii="Times New Roman" w:hAnsi="Times New Roman" w:cs="Times New Roman" w:eastAsia="Times New Roman"/>
          <w:b w:val="0"/>
          <w:i w:val="0"/>
          <w:sz w:val="22"/>
          <w:rtl/>
        </w:rPr>
        <w:t>4) الجزء A؛</w:t>
      </w:r>
    </w:p>
    <w:p>
      <w:pPr>
        <w:spacing w:after="40"/>
        <w:ind w:right="709" w:hanging="425"/>
      </w:pPr>
      <w:r>
        <w:rPr>
          <w:rFonts w:ascii="Times New Roman" w:hAnsi="Times New Roman" w:cs="Times New Roman" w:eastAsia="Times New Roman"/>
          <w:b w:val="0"/>
          <w:i w:val="0"/>
          <w:sz w:val="22"/>
          <w:rtl/>
        </w:rPr>
        <w:t>5) الجزء C والقسم العام.</w:t>
      </w:r>
    </w:p>
    <w:p>
      <w:r>
        <w:rPr>
          <w:rFonts w:ascii="Times New Roman" w:hAnsi="Times New Roman" w:cs="Times New Roman" w:eastAsia="Times New Roman"/>
          <w:b w:val="0"/>
          <w:i w:val="0"/>
          <w:sz w:val="22"/>
          <w:rtl/>
        </w:rPr>
        <w:t>1.4. لا تحل هذه الشروط محل شروط استخدام الموقع المنشورة على https://arsy.ai/terms ولا محل سياسة الخصوصية المنشورة على https://arsy.ai/privacy. وفيما يخص منح حقوق البرمجية والمدفوعات بين الطرفين، تسود هذه الشروط.</w:t>
      </w:r>
    </w:p>
    <w:p>
      <w:r>
        <w:rPr>
          <w:rFonts w:ascii="Times New Roman" w:hAnsi="Times New Roman" w:cs="Times New Roman" w:eastAsia="Times New Roman"/>
          <w:b w:val="0"/>
          <w:i w:val="0"/>
          <w:sz w:val="22"/>
          <w:rtl/>
        </w:rPr>
        <w:t>1.5. إن إرسال طلب عرض توضيحي أو حضور عرض توضيحي أو الحصول على وصول إلى بيئة تجريبية لا يشكّل بذاته عقدًا ولا يمنح أي ترخيص للبرمجية.</w:t>
      </w:r>
    </w:p>
    <w:p>
      <w:r>
        <w:rPr>
          <w:rFonts w:ascii="Times New Roman" w:hAnsi="Times New Roman" w:cs="Times New Roman" w:eastAsia="Times New Roman"/>
          <w:b w:val="0"/>
          <w:i w:val="0"/>
          <w:sz w:val="22"/>
          <w:rtl/>
        </w:rPr>
        <w:t xml:space="preserve">1.6. </w:t>
      </w:r>
      <w:r>
        <w:rPr>
          <w:rFonts w:ascii="Times New Roman" w:hAnsi="Times New Roman" w:cs="Times New Roman" w:eastAsia="Times New Roman"/>
          <w:b/>
          <w:i w:val="0"/>
          <w:sz w:val="22"/>
          <w:rtl/>
        </w:rPr>
        <w:t>التعاقد بالأصالة عن النفس.</w:t>
      </w:r>
      <w:r>
        <w:rPr>
          <w:rFonts w:ascii="Times New Roman" w:hAnsi="Times New Roman" w:cs="Times New Roman" w:eastAsia="Times New Roman"/>
          <w:b w:val="0"/>
          <w:i w:val="0"/>
          <w:sz w:val="22"/>
          <w:rtl/>
        </w:rPr>
        <w:t xml:space="preserve"> يتعاقد المرخِّص حصرًا باسمه ولحسابه الخاص. وهو ليس طرفًا في أي اتفاق يبرمه أي شخص آخر ولا يتحمّل أي التزام أو مسؤولية ناشئة عنه، ولا يملك أي شخص آخر صلاحية تقديم إقرارات أو تحمّل التزامات أو منح حقوق نيابةً عن المرخِّص.</w:t>
      </w:r>
    </w:p>
    <w:p>
      <w:pPr>
        <w:pStyle w:val="Heading2"/>
        <w:keepNext/>
      </w:pPr>
      <w:r>
        <w:rPr>
          <w:rFonts w:ascii="Times New Roman" w:hAnsi="Times New Roman" w:cs="Times New Roman" w:eastAsia="Times New Roman"/>
          <w:b/>
          <w:i w:val="0"/>
          <w:sz w:val="23"/>
          <w:rtl/>
        </w:rPr>
        <w:t>2. التعريفات</w:t>
      </w:r>
    </w:p>
    <w:p>
      <w:r>
        <w:rPr>
          <w:rFonts w:ascii="Times New Roman" w:hAnsi="Times New Roman" w:cs="Times New Roman" w:eastAsia="Times New Roman"/>
          <w:b/>
          <w:i w:val="0"/>
          <w:sz w:val="22"/>
          <w:rtl/>
        </w:rPr>
        <w:t>2.1. «البرمجية»</w:t>
      </w:r>
      <w:r>
        <w:rPr>
          <w:rFonts w:ascii="Times New Roman" w:hAnsi="Times New Roman" w:cs="Times New Roman" w:eastAsia="Times New Roman"/>
          <w:b w:val="0"/>
          <w:i w:val="0"/>
          <w:sz w:val="22"/>
          <w:rtl/>
        </w:rPr>
        <w:t xml:space="preserve">، </w:t>
      </w:r>
      <w:r>
        <w:rPr>
          <w:rFonts w:ascii="Times New Roman" w:hAnsi="Times New Roman" w:cs="Times New Roman" w:eastAsia="Times New Roman"/>
          <w:b/>
          <w:i w:val="0"/>
          <w:sz w:val="22"/>
          <w:rtl/>
        </w:rPr>
        <w:t>«ARSY AI»</w:t>
      </w:r>
      <w:r>
        <w:rPr>
          <w:rFonts w:ascii="Times New Roman" w:hAnsi="Times New Roman" w:cs="Times New Roman" w:eastAsia="Times New Roman"/>
          <w:b w:val="0"/>
          <w:i w:val="0"/>
          <w:sz w:val="22"/>
          <w:rtl/>
        </w:rPr>
        <w:t xml:space="preserve"> — منصة الذكاء الاصطناعي المكاني ARSY AI للبيئات الصناعية، وتتكوّن، في الحدود المشمولة بالخطة المشتراة، مما يلي:</w:t>
      </w:r>
    </w:p>
    <w:p>
      <w:pPr>
        <w:spacing w:after="40"/>
        <w:ind w:right="709" w:hanging="283"/>
      </w:pPr>
      <w:r>
        <w:rPr>
          <w:rFonts w:ascii="Times New Roman" w:hAnsi="Times New Roman" w:cs="Times New Roman" w:eastAsia="Times New Roman"/>
          <w:b w:val="0"/>
          <w:i w:val="0"/>
          <w:sz w:val="22"/>
          <w:rtl/>
        </w:rPr>
        <w:t>— مكوّنات خادم المنصة ولوحة الإدارة؛</w:t>
      </w:r>
    </w:p>
    <w:p>
      <w:pPr>
        <w:spacing w:after="40"/>
        <w:ind w:right="709" w:hanging="283"/>
      </w:pPr>
      <w:r>
        <w:rPr>
          <w:rFonts w:ascii="Times New Roman" w:hAnsi="Times New Roman" w:cs="Times New Roman" w:eastAsia="Times New Roman"/>
          <w:b w:val="0"/>
          <w:i w:val="0"/>
          <w:sz w:val="22"/>
          <w:rtl/>
        </w:rPr>
        <w:t xml:space="preserve">— نظام تحديد المواقع البصري </w:t>
      </w:r>
      <w:r>
        <w:rPr>
          <w:rFonts w:ascii="Times New Roman" w:hAnsi="Times New Roman" w:cs="Times New Roman" w:eastAsia="Times New Roman"/>
          <w:b/>
          <w:i w:val="0"/>
          <w:sz w:val="22"/>
          <w:rtl/>
        </w:rPr>
        <w:t>AR Clip VPS</w:t>
      </w:r>
      <w:r>
        <w:rPr>
          <w:rFonts w:ascii="Times New Roman" w:hAnsi="Times New Roman" w:cs="Times New Roman" w:eastAsia="Times New Roman"/>
          <w:b w:val="0"/>
          <w:i w:val="0"/>
          <w:sz w:val="22"/>
          <w:rtl/>
        </w:rPr>
        <w:t xml:space="preserve"> (تحديد المواقع المكاني دون علامات، وإنشاء الخرائط المكانية وتخزينها)؛</w:t>
      </w:r>
    </w:p>
    <w:p>
      <w:pPr>
        <w:spacing w:after="40"/>
        <w:ind w:right="709" w:hanging="283"/>
      </w:pPr>
      <w:r>
        <w:rPr>
          <w:rFonts w:ascii="Times New Roman" w:hAnsi="Times New Roman" w:cs="Times New Roman" w:eastAsia="Times New Roman"/>
          <w:b w:val="0"/>
          <w:i w:val="0"/>
          <w:sz w:val="22"/>
          <w:rtl/>
        </w:rPr>
        <w:t>— وكيل الذكاء الاصطناعي (وضعا النص والصوت، ووضع التفاعل الحر، والوضع الوكيلي)، بما في ذلك نماذج التعلّم الآلي والرؤية الحاسوبية المدرَّبة؛</w:t>
      </w:r>
    </w:p>
    <w:p>
      <w:pPr>
        <w:spacing w:after="40"/>
        <w:ind w:right="709" w:hanging="283"/>
      </w:pPr>
      <w:r>
        <w:rPr>
          <w:rFonts w:ascii="Times New Roman" w:hAnsi="Times New Roman" w:cs="Times New Roman" w:eastAsia="Times New Roman"/>
          <w:b w:val="0"/>
          <w:i w:val="0"/>
          <w:sz w:val="22"/>
          <w:rtl/>
        </w:rPr>
        <w:t>— الوحدات الوظيفية: التدريب والاعتماد، والتحليلات، والتحكم في الوصول (RBAC)، ومحرّك السيناريوهات القائم على المكوّنات، ووحدة «الخبير عن بُعد» (مؤتمرات فيديو بالواقع المعزَّز)؛</w:t>
      </w:r>
    </w:p>
    <w:p>
      <w:pPr>
        <w:spacing w:after="40"/>
        <w:ind w:right="709" w:hanging="283"/>
      </w:pPr>
      <w:r>
        <w:rPr>
          <w:rFonts w:ascii="Times New Roman" w:hAnsi="Times New Roman" w:cs="Times New Roman" w:eastAsia="Times New Roman"/>
          <w:b w:val="0"/>
          <w:i w:val="0"/>
          <w:sz w:val="22"/>
          <w:rtl/>
        </w:rPr>
        <w:t>— تطبيقات العميل للهواتف الذكية واللوحيات ونظّارات الواقع المعزَّز؛</w:t>
      </w:r>
    </w:p>
    <w:p>
      <w:pPr>
        <w:spacing w:after="40"/>
        <w:ind w:right="709" w:hanging="283"/>
      </w:pPr>
      <w:r>
        <w:rPr>
          <w:rFonts w:ascii="Times New Roman" w:hAnsi="Times New Roman" w:cs="Times New Roman" w:eastAsia="Times New Roman"/>
          <w:b w:val="0"/>
          <w:i w:val="0"/>
          <w:sz w:val="22"/>
          <w:rtl/>
        </w:rPr>
        <w:t>— الوثائق المصاحبة؛</w:t>
      </w:r>
    </w:p>
    <w:p>
      <w:r>
        <w:rPr>
          <w:rFonts w:ascii="Times New Roman" w:hAnsi="Times New Roman" w:cs="Times New Roman" w:eastAsia="Times New Roman"/>
          <w:b w:val="0"/>
          <w:i w:val="0"/>
          <w:sz w:val="22"/>
          <w:rtl/>
        </w:rPr>
        <w:t>مع جميع التحديثات والإصلاحات والإصدارات الجديدة لما سبق التي يقدّمها المرخِّص خلال مدة الترخيص.</w:t>
      </w:r>
    </w:p>
    <w:p>
      <w:r>
        <w:rPr>
          <w:rFonts w:ascii="Times New Roman" w:hAnsi="Times New Roman" w:cs="Times New Roman" w:eastAsia="Times New Roman"/>
          <w:b/>
          <w:i w:val="0"/>
          <w:sz w:val="22"/>
          <w:rtl/>
        </w:rPr>
        <w:t>2.2. «ARSY AI Space»</w:t>
      </w:r>
      <w:r>
        <w:rPr>
          <w:rFonts w:ascii="Times New Roman" w:hAnsi="Times New Roman" w:cs="Times New Roman" w:eastAsia="Times New Roman"/>
          <w:b w:val="0"/>
          <w:i w:val="0"/>
          <w:sz w:val="22"/>
          <w:rtl/>
        </w:rPr>
        <w:t xml:space="preserve"> — واجهة الإدارة المتاحة على https://space.arsy.ai، وتُستخدم للإدارة، وتسجيل الأجهزة والآلات المشمولة، وتبادل الإخطارات الرسمية بين الطرفين.</w:t>
      </w:r>
    </w:p>
    <w:p>
      <w:r>
        <w:rPr>
          <w:rFonts w:ascii="Times New Roman" w:hAnsi="Times New Roman" w:cs="Times New Roman" w:eastAsia="Times New Roman"/>
          <w:b/>
          <w:i w:val="0"/>
          <w:sz w:val="22"/>
          <w:rtl/>
        </w:rPr>
        <w:t>2.3. «العميل»</w:t>
      </w:r>
      <w:r>
        <w:rPr>
          <w:rFonts w:ascii="Times New Roman" w:hAnsi="Times New Roman" w:cs="Times New Roman" w:eastAsia="Times New Roman"/>
          <w:b w:val="0"/>
          <w:i w:val="0"/>
          <w:sz w:val="22"/>
          <w:rtl/>
        </w:rPr>
        <w:t xml:space="preserve"> — شخص اعتباري يقبل هذه الشروط لاستخدام البرمجية لأغراض عمله الداخلية. والعميل في هذه الشروط هو الطرف المقابل.</w:t>
      </w:r>
    </w:p>
    <w:p>
      <w:r>
        <w:rPr>
          <w:rFonts w:ascii="Times New Roman" w:hAnsi="Times New Roman" w:cs="Times New Roman" w:eastAsia="Times New Roman"/>
          <w:b/>
          <w:i w:val="0"/>
          <w:sz w:val="22"/>
          <w:rtl/>
        </w:rPr>
        <w:t>2.5. «استمارة الطلب»</w:t>
      </w:r>
      <w:r>
        <w:rPr>
          <w:rFonts w:ascii="Times New Roman" w:hAnsi="Times New Roman" w:cs="Times New Roman" w:eastAsia="Times New Roman"/>
          <w:b w:val="0"/>
          <w:i w:val="0"/>
          <w:sz w:val="22"/>
          <w:rtl/>
        </w:rPr>
        <w:t xml:space="preserve"> — وثيقة على نموذج الملحق 6 تحدّد الخطة، ونموذج النشر، والمواقع، وعدد الآلات المشمولة والأجهزة، ومدة الترخيص، والمقابل وشروط الدفع، وأي معايير أخرى متفَق عليها. ويجوز الاتفاق على استمارة الطلب في ARSY AI Space أو بالبريد الإلكتروني أو بالتوقيع.</w:t>
      </w:r>
    </w:p>
    <w:p>
      <w:r>
        <w:rPr>
          <w:rFonts w:ascii="Times New Roman" w:hAnsi="Times New Roman" w:cs="Times New Roman" w:eastAsia="Times New Roman"/>
          <w:b/>
          <w:i w:val="0"/>
          <w:sz w:val="22"/>
          <w:rtl/>
        </w:rPr>
        <w:t>2.6. «الخطة»</w:t>
      </w:r>
      <w:r>
        <w:rPr>
          <w:rFonts w:ascii="Times New Roman" w:hAnsi="Times New Roman" w:cs="Times New Roman" w:eastAsia="Times New Roman"/>
          <w:b w:val="0"/>
          <w:i w:val="0"/>
          <w:sz w:val="22"/>
          <w:rtl/>
        </w:rPr>
        <w:t xml:space="preserve"> — مجموعة القدرات الوظيفية والحدود الكمية المحدَّدة في الملحق 1: </w:t>
      </w:r>
      <w:r>
        <w:rPr>
          <w:rFonts w:ascii="Times New Roman" w:hAnsi="Times New Roman" w:cs="Times New Roman" w:eastAsia="Times New Roman"/>
          <w:b/>
          <w:i w:val="0"/>
          <w:sz w:val="22"/>
          <w:rtl/>
        </w:rPr>
        <w:t>Lite</w:t>
      </w:r>
      <w:r>
        <w:rPr>
          <w:rFonts w:ascii="Times New Roman" w:hAnsi="Times New Roman" w:cs="Times New Roman" w:eastAsia="Times New Roman"/>
          <w:b w:val="0"/>
          <w:i w:val="0"/>
          <w:sz w:val="22"/>
          <w:rtl/>
        </w:rPr>
        <w:t xml:space="preserve"> و</w:t>
      </w:r>
      <w:r>
        <w:rPr>
          <w:rFonts w:ascii="Times New Roman" w:hAnsi="Times New Roman" w:cs="Times New Roman" w:eastAsia="Times New Roman"/>
          <w:b/>
          <w:i w:val="0"/>
          <w:sz w:val="22"/>
          <w:rtl/>
        </w:rPr>
        <w:t>Starter</w:t>
      </w:r>
      <w:r>
        <w:rPr>
          <w:rFonts w:ascii="Times New Roman" w:hAnsi="Times New Roman" w:cs="Times New Roman" w:eastAsia="Times New Roman"/>
          <w:b w:val="0"/>
          <w:i w:val="0"/>
          <w:sz w:val="22"/>
          <w:rtl/>
        </w:rPr>
        <w:t xml:space="preserve"> و</w:t>
      </w:r>
      <w:r>
        <w:rPr>
          <w:rFonts w:ascii="Times New Roman" w:hAnsi="Times New Roman" w:cs="Times New Roman" w:eastAsia="Times New Roman"/>
          <w:b/>
          <w:i w:val="0"/>
          <w:sz w:val="22"/>
          <w:rtl/>
        </w:rPr>
        <w:t>Professional</w:t>
      </w:r>
      <w:r>
        <w:rPr>
          <w:rFonts w:ascii="Times New Roman" w:hAnsi="Times New Roman" w:cs="Times New Roman" w:eastAsia="Times New Roman"/>
          <w:b w:val="0"/>
          <w:i w:val="0"/>
          <w:sz w:val="22"/>
          <w:rtl/>
        </w:rPr>
        <w:t xml:space="preserve"> و</w:t>
      </w:r>
      <w:r>
        <w:rPr>
          <w:rFonts w:ascii="Times New Roman" w:hAnsi="Times New Roman" w:cs="Times New Roman" w:eastAsia="Times New Roman"/>
          <w:b/>
          <w:i w:val="0"/>
          <w:sz w:val="22"/>
          <w:rtl/>
        </w:rPr>
        <w:t>Enterprise</w:t>
      </w:r>
      <w:r>
        <w:rPr>
          <w:rFonts w:ascii="Times New Roman" w:hAnsi="Times New Roman" w:cs="Times New Roman" w:eastAsia="Times New Roman"/>
          <w:b w:val="0"/>
          <w:i w:val="0"/>
          <w:sz w:val="22"/>
          <w:rtl/>
        </w:rPr>
        <w:t>.</w:t>
      </w:r>
    </w:p>
    <w:p>
      <w:r>
        <w:rPr>
          <w:rFonts w:ascii="Times New Roman" w:hAnsi="Times New Roman" w:cs="Times New Roman" w:eastAsia="Times New Roman"/>
          <w:b/>
          <w:i w:val="0"/>
          <w:sz w:val="22"/>
          <w:rtl/>
        </w:rPr>
        <w:t>2.7. «نموذج النشر»</w:t>
      </w:r>
      <w:r>
        <w:rPr>
          <w:rFonts w:ascii="Times New Roman" w:hAnsi="Times New Roman" w:cs="Times New Roman" w:eastAsia="Times New Roman"/>
          <w:b w:val="0"/>
          <w:i w:val="0"/>
          <w:sz w:val="22"/>
          <w:rtl/>
        </w:rPr>
        <w:t>:</w:t>
      </w:r>
    </w:p>
    <w:p>
      <w:pPr>
        <w:spacing w:after="40"/>
        <w:ind w:right="709" w:hanging="283"/>
      </w:pPr>
      <w:r>
        <w:rPr>
          <w:rFonts w:ascii="Times New Roman" w:hAnsi="Times New Roman" w:cs="Times New Roman" w:eastAsia="Times New Roman"/>
          <w:b w:val="0"/>
          <w:i w:val="0"/>
          <w:sz w:val="22"/>
          <w:rtl/>
        </w:rPr>
        <w:t xml:space="preserve">— </w:t>
      </w:r>
      <w:r>
        <w:rPr>
          <w:rFonts w:ascii="Times New Roman" w:hAnsi="Times New Roman" w:cs="Times New Roman" w:eastAsia="Times New Roman"/>
          <w:b/>
          <w:i w:val="0"/>
          <w:sz w:val="22"/>
          <w:rtl/>
        </w:rPr>
        <w:t>«السحابة المُدارة»</w:t>
      </w:r>
      <w:r>
        <w:rPr>
          <w:rFonts w:ascii="Times New Roman" w:hAnsi="Times New Roman" w:cs="Times New Roman" w:eastAsia="Times New Roman"/>
          <w:b w:val="0"/>
          <w:i w:val="0"/>
          <w:sz w:val="22"/>
          <w:rtl/>
        </w:rPr>
        <w:t xml:space="preserve"> — تعمل البرمجية على بنية المرخِّص التحتية ويجري الوصول إليها عن بُعد عبر الإنترنت؛</w:t>
      </w:r>
    </w:p>
    <w:p>
      <w:pPr>
        <w:spacing w:after="40"/>
        <w:ind w:right="709" w:hanging="283"/>
      </w:pPr>
      <w:r>
        <w:rPr>
          <w:rFonts w:ascii="Times New Roman" w:hAnsi="Times New Roman" w:cs="Times New Roman" w:eastAsia="Times New Roman"/>
          <w:b w:val="0"/>
          <w:i w:val="0"/>
          <w:sz w:val="22"/>
          <w:rtl/>
        </w:rPr>
        <w:t xml:space="preserve">— </w:t>
      </w:r>
      <w:r>
        <w:rPr>
          <w:rFonts w:ascii="Times New Roman" w:hAnsi="Times New Roman" w:cs="Times New Roman" w:eastAsia="Times New Roman"/>
          <w:b/>
          <w:i w:val="0"/>
          <w:sz w:val="22"/>
          <w:rtl/>
        </w:rPr>
        <w:t>«On-Premise»</w:t>
      </w:r>
      <w:r>
        <w:rPr>
          <w:rFonts w:ascii="Times New Roman" w:hAnsi="Times New Roman" w:cs="Times New Roman" w:eastAsia="Times New Roman"/>
          <w:b w:val="0"/>
          <w:i w:val="0"/>
          <w:sz w:val="22"/>
          <w:rtl/>
        </w:rPr>
        <w:t xml:space="preserve"> — تُثبَّت نسخة تشغيلية على خادم داخل شبكة الطرف المقابل الخاصة وتحت سيطرته. متاح اعتبارًا من خطة Professional فأعلى.</w:t>
      </w:r>
    </w:p>
    <w:p>
      <w:r>
        <w:rPr>
          <w:rFonts w:ascii="Times New Roman" w:hAnsi="Times New Roman" w:cs="Times New Roman" w:eastAsia="Times New Roman"/>
          <w:b/>
          <w:i w:val="0"/>
          <w:sz w:val="22"/>
          <w:rtl/>
        </w:rPr>
        <w:t>2.8. «النسخة التشغيلية»</w:t>
      </w:r>
      <w:r>
        <w:rPr>
          <w:rFonts w:ascii="Times New Roman" w:hAnsi="Times New Roman" w:cs="Times New Roman" w:eastAsia="Times New Roman"/>
          <w:b w:val="0"/>
          <w:i w:val="0"/>
          <w:sz w:val="22"/>
          <w:rtl/>
        </w:rPr>
        <w:t xml:space="preserve"> — نسخة من البرمجية منشورة ومُهيَّأة تعمل لصالح طرف مقابل واحد في نموذج نشر واحد.</w:t>
      </w:r>
    </w:p>
    <w:p>
      <w:r>
        <w:rPr>
          <w:rFonts w:ascii="Times New Roman" w:hAnsi="Times New Roman" w:cs="Times New Roman" w:eastAsia="Times New Roman"/>
          <w:b/>
          <w:i w:val="0"/>
          <w:sz w:val="22"/>
          <w:rtl/>
        </w:rPr>
        <w:t>2.9. «الموقع»</w:t>
      </w:r>
      <w:r>
        <w:rPr>
          <w:rFonts w:ascii="Times New Roman" w:hAnsi="Times New Roman" w:cs="Times New Roman" w:eastAsia="Times New Roman"/>
          <w:b w:val="0"/>
          <w:i w:val="0"/>
          <w:sz w:val="22"/>
          <w:rtl/>
        </w:rPr>
        <w:t xml:space="preserve"> — منشأة صناعية أو غيرها، مستقلة، تابعة للعميل (موقع، مصنع، مبنى، منطقة إنتاج) جرى مسحها مكانيًا وتُستخدم البرمجية ضمن حدودها. وتُدرَج المواقع في استمارة الطلب.</w:t>
      </w:r>
    </w:p>
    <w:p>
      <w:r>
        <w:rPr>
          <w:rFonts w:ascii="Times New Roman" w:hAnsi="Times New Roman" w:cs="Times New Roman" w:eastAsia="Times New Roman"/>
          <w:b/>
          <w:i w:val="0"/>
          <w:sz w:val="22"/>
          <w:rtl/>
        </w:rPr>
        <w:t>2.10. «الآلة المشمولة»</w:t>
      </w:r>
      <w:r>
        <w:rPr>
          <w:rFonts w:ascii="Times New Roman" w:hAnsi="Times New Roman" w:cs="Times New Roman" w:eastAsia="Times New Roman"/>
          <w:b w:val="0"/>
          <w:i w:val="0"/>
          <w:sz w:val="22"/>
          <w:rtl/>
        </w:rPr>
        <w:t xml:space="preserve"> — معدّة إنتاجية للعميل (آلة، وحدة، خط، منشأة، مجموعة) أُنشئ لها في البرمجية ربط مكاني و/أو سيناريوهات و/أو إجراءات إرشاد، ومسجَّلة في ARSY AI Space. والآلة المشمولة وحدة احتساب.</w:t>
      </w:r>
    </w:p>
    <w:p>
      <w:r>
        <w:rPr>
          <w:rFonts w:ascii="Times New Roman" w:hAnsi="Times New Roman" w:cs="Times New Roman" w:eastAsia="Times New Roman"/>
          <w:b/>
          <w:i w:val="0"/>
          <w:sz w:val="22"/>
          <w:rtl/>
        </w:rPr>
        <w:t>2.11. «الجهاز»</w:t>
      </w:r>
      <w:r>
        <w:rPr>
          <w:rFonts w:ascii="Times New Roman" w:hAnsi="Times New Roman" w:cs="Times New Roman" w:eastAsia="Times New Roman"/>
          <w:b w:val="0"/>
          <w:i w:val="0"/>
          <w:sz w:val="22"/>
          <w:rtl/>
        </w:rPr>
        <w:t xml:space="preserve"> — معدّة مرتداة أو محمولة (نظّارة واقع معزَّز، هاتف ذكي، لوحي) مسجَّلة في نسخة تشغيلية وتُستخدم للوصول إلى البرمجية.</w:t>
      </w:r>
    </w:p>
    <w:p>
      <w:r>
        <w:rPr>
          <w:rFonts w:ascii="Times New Roman" w:hAnsi="Times New Roman" w:cs="Times New Roman" w:eastAsia="Times New Roman"/>
          <w:b/>
          <w:i w:val="0"/>
          <w:sz w:val="22"/>
          <w:rtl/>
        </w:rPr>
        <w:t>2.12. «المستخدم»</w:t>
      </w:r>
      <w:r>
        <w:rPr>
          <w:rFonts w:ascii="Times New Roman" w:hAnsi="Times New Roman" w:cs="Times New Roman" w:eastAsia="Times New Roman"/>
          <w:b w:val="0"/>
          <w:i w:val="0"/>
          <w:sz w:val="22"/>
          <w:rtl/>
        </w:rPr>
        <w:t xml:space="preserve"> — شخص طبيعي يمنحه الطرف المقابل حق الوصول إلى البرمجية (موظف، متدرّب، متعاقد). </w:t>
      </w:r>
      <w:r>
        <w:rPr>
          <w:rFonts w:ascii="Times New Roman" w:hAnsi="Times New Roman" w:cs="Times New Roman" w:eastAsia="Times New Roman"/>
          <w:b/>
          <w:i w:val="0"/>
          <w:sz w:val="22"/>
          <w:rtl/>
        </w:rPr>
        <w:t>لا يُحتسَب المستخدمون ولا يُحاسَبون في أي خطة.</w:t>
      </w:r>
    </w:p>
    <w:p>
      <w:r>
        <w:rPr>
          <w:rFonts w:ascii="Times New Roman" w:hAnsi="Times New Roman" w:cs="Times New Roman" w:eastAsia="Times New Roman"/>
          <w:b/>
          <w:i w:val="0"/>
          <w:sz w:val="22"/>
          <w:rtl/>
        </w:rPr>
        <w:t>2.13. «محتوى العميل»</w:t>
      </w:r>
      <w:r>
        <w:rPr>
          <w:rFonts w:ascii="Times New Roman" w:hAnsi="Times New Roman" w:cs="Times New Roman" w:eastAsia="Times New Roman"/>
          <w:b w:val="0"/>
          <w:i w:val="0"/>
          <w:sz w:val="22"/>
          <w:rtl/>
        </w:rPr>
        <w:t xml:space="preserve"> — جميع البيانات والمواد التي يُدخلها الطرف المقابل في البرمجية أو ينشئها بها، بما في ذلك عمليات مسح المواقع والخرائط المكانية المشتقّة منها، والإجراءات والدورات التدريبية والسيناريوهات، والوثائق التقنية والتنظيمية المرفوعة، والأدلة المصوَّرة فوتوغرافيًا وبالفيديو، وتسجيلات جلسات الخبير عن بُعد، وبيانات نشاط المستخدمين والسجلات التشغيلية.</w:t>
      </w:r>
    </w:p>
    <w:p>
      <w:r>
        <w:rPr>
          <w:rFonts w:ascii="Times New Roman" w:hAnsi="Times New Roman" w:cs="Times New Roman" w:eastAsia="Times New Roman"/>
          <w:b/>
          <w:i w:val="0"/>
          <w:sz w:val="22"/>
          <w:rtl/>
        </w:rPr>
        <w:t>2.14. «المقاييس المجمَّعة»</w:t>
      </w:r>
      <w:r>
        <w:rPr>
          <w:rFonts w:ascii="Times New Roman" w:hAnsi="Times New Roman" w:cs="Times New Roman" w:eastAsia="Times New Roman"/>
          <w:b w:val="0"/>
          <w:i w:val="0"/>
          <w:sz w:val="22"/>
          <w:rtl/>
        </w:rPr>
        <w:t xml:space="preserve"> — معلومات عن تشغيل البرمجية في صورة مجمَّعة ومجهَّلة لا تتيح تحديد هوية الطرف المقابل أو موقعه أو معدّاته أو مستخدميه أو أي شخص طبيعي آخر (بما في ذلك مؤشرات الأداء وتواتر استخدام الميزات والكميات ومعدلات الأخطاء).</w:t>
      </w:r>
    </w:p>
    <w:p>
      <w:r>
        <w:rPr>
          <w:rFonts w:ascii="Times New Roman" w:hAnsi="Times New Roman" w:cs="Times New Roman" w:eastAsia="Times New Roman"/>
          <w:b/>
          <w:i w:val="0"/>
          <w:sz w:val="22"/>
          <w:rtl/>
        </w:rPr>
        <w:t>2.15. «مدة الترخيص»</w:t>
      </w:r>
      <w:r>
        <w:rPr>
          <w:rFonts w:ascii="Times New Roman" w:hAnsi="Times New Roman" w:cs="Times New Roman" w:eastAsia="Times New Roman"/>
          <w:b w:val="0"/>
          <w:i w:val="0"/>
          <w:sz w:val="22"/>
          <w:rtl/>
        </w:rPr>
        <w:t xml:space="preserve">، </w:t>
      </w:r>
      <w:r>
        <w:rPr>
          <w:rFonts w:ascii="Times New Roman" w:hAnsi="Times New Roman" w:cs="Times New Roman" w:eastAsia="Times New Roman"/>
          <w:b/>
          <w:i w:val="0"/>
          <w:sz w:val="22"/>
          <w:rtl/>
        </w:rPr>
        <w:t>«فترة الاحتساب»</w:t>
      </w:r>
      <w:r>
        <w:rPr>
          <w:rFonts w:ascii="Times New Roman" w:hAnsi="Times New Roman" w:cs="Times New Roman" w:eastAsia="Times New Roman"/>
          <w:b w:val="0"/>
          <w:i w:val="0"/>
          <w:sz w:val="22"/>
          <w:rtl/>
        </w:rPr>
        <w:t xml:space="preserve">، </w:t>
      </w:r>
      <w:r>
        <w:rPr>
          <w:rFonts w:ascii="Times New Roman" w:hAnsi="Times New Roman" w:cs="Times New Roman" w:eastAsia="Times New Roman"/>
          <w:b/>
          <w:i w:val="0"/>
          <w:sz w:val="22"/>
          <w:rtl/>
        </w:rPr>
        <w:t>«الاشتراك»</w:t>
      </w:r>
      <w:r>
        <w:rPr>
          <w:rFonts w:ascii="Times New Roman" w:hAnsi="Times New Roman" w:cs="Times New Roman" w:eastAsia="Times New Roman"/>
          <w:b w:val="0"/>
          <w:i w:val="0"/>
          <w:sz w:val="22"/>
          <w:rtl/>
        </w:rPr>
        <w:t xml:space="preserve"> — المدة الممنوحة خلالها حقوق استخدام البرمجية، وفق استمارة الطلب.</w:t>
      </w:r>
    </w:p>
    <w:p>
      <w:r>
        <w:rPr>
          <w:rFonts w:ascii="Times New Roman" w:hAnsi="Times New Roman" w:cs="Times New Roman" w:eastAsia="Times New Roman"/>
          <w:b/>
          <w:i w:val="0"/>
          <w:sz w:val="22"/>
          <w:rtl/>
        </w:rPr>
        <w:t>2.16. «قائمة الأسعار»</w:t>
      </w:r>
      <w:r>
        <w:rPr>
          <w:rFonts w:ascii="Times New Roman" w:hAnsi="Times New Roman" w:cs="Times New Roman" w:eastAsia="Times New Roman"/>
          <w:b w:val="0"/>
          <w:i w:val="0"/>
          <w:sz w:val="22"/>
          <w:rtl/>
        </w:rPr>
        <w:t xml:space="preserve"> — قائمة أسعار المرخِّص المنشورة على https://arsy.ai/pricing، مع الأسعار الأساسية المبيَّنة في الملحق 2.</w:t>
      </w:r>
    </w:p>
    <w:p>
      <w:r>
        <w:rPr>
          <w:rFonts w:ascii="Times New Roman" w:hAnsi="Times New Roman" w:cs="Times New Roman" w:eastAsia="Times New Roman"/>
          <w:b/>
          <w:i w:val="0"/>
          <w:sz w:val="22"/>
          <w:rtl/>
        </w:rPr>
        <w:t>2.17. «ملحق الدعم»</w:t>
      </w:r>
      <w:r>
        <w:rPr>
          <w:rFonts w:ascii="Times New Roman" w:hAnsi="Times New Roman" w:cs="Times New Roman" w:eastAsia="Times New Roman"/>
          <w:b w:val="0"/>
          <w:i w:val="0"/>
          <w:sz w:val="22"/>
          <w:rtl/>
        </w:rPr>
        <w:t xml:space="preserve"> — الملحق 3، الذي يحدّد مستويات الدعم والقنوات وأزمنة الاستجابة والتزامات التوافر.</w:t>
      </w:r>
    </w:p>
    <w:p>
      <w:pPr>
        <w:pStyle w:val="Heading2"/>
        <w:keepNext/>
      </w:pPr>
      <w:r>
        <w:rPr>
          <w:rFonts w:ascii="Times New Roman" w:hAnsi="Times New Roman" w:cs="Times New Roman" w:eastAsia="Times New Roman"/>
          <w:b/>
          <w:i w:val="0"/>
          <w:sz w:val="23"/>
          <w:rtl/>
        </w:rPr>
        <w:t>3. انعقاد العقد (القبول)</w:t>
      </w:r>
    </w:p>
    <w:p>
      <w:r>
        <w:rPr>
          <w:rFonts w:ascii="Times New Roman" w:hAnsi="Times New Roman" w:cs="Times New Roman" w:eastAsia="Times New Roman"/>
          <w:b w:val="0"/>
          <w:i w:val="0"/>
          <w:sz w:val="22"/>
          <w:rtl/>
        </w:rPr>
        <w:t xml:space="preserve">3.1. </w:t>
      </w:r>
      <w:r>
        <w:rPr>
          <w:rFonts w:ascii="Times New Roman" w:hAnsi="Times New Roman" w:cs="Times New Roman" w:eastAsia="Times New Roman"/>
          <w:b/>
          <w:i w:val="0"/>
          <w:sz w:val="22"/>
          <w:rtl/>
        </w:rPr>
        <w:t>من يجوز له القبول.</w:t>
      </w:r>
      <w:r>
        <w:rPr>
          <w:rFonts w:ascii="Times New Roman" w:hAnsi="Times New Roman" w:cs="Times New Roman" w:eastAsia="Times New Roman"/>
          <w:b w:val="0"/>
          <w:i w:val="0"/>
          <w:sz w:val="22"/>
          <w:rtl/>
        </w:rPr>
        <w:t xml:space="preserve"> توجَّه هذه الشروط إلى الأشخاص الاعتباريين وإلى الأشخاص الطبيعيين العاملين في إطار نشاط تجاري أو مهني. ولا توجَّه إلى المستهلكين، ولا يُقصَد تطبيق أي نظام لحماية المستهلك.</w:t>
      </w:r>
    </w:p>
    <w:p>
      <w:r>
        <w:rPr>
          <w:rFonts w:ascii="Times New Roman" w:hAnsi="Times New Roman" w:cs="Times New Roman" w:eastAsia="Times New Roman"/>
          <w:b w:val="0"/>
          <w:i w:val="0"/>
          <w:sz w:val="22"/>
          <w:rtl/>
        </w:rPr>
        <w:t xml:space="preserve">3.2. </w:t>
      </w:r>
      <w:r>
        <w:rPr>
          <w:rFonts w:ascii="Times New Roman" w:hAnsi="Times New Roman" w:cs="Times New Roman" w:eastAsia="Times New Roman"/>
          <w:b/>
          <w:i w:val="0"/>
          <w:sz w:val="22"/>
          <w:rtl/>
        </w:rPr>
        <w:t>القبول.</w:t>
      </w:r>
      <w:r>
        <w:rPr>
          <w:rFonts w:ascii="Times New Roman" w:hAnsi="Times New Roman" w:cs="Times New Roman" w:eastAsia="Times New Roman"/>
          <w:b w:val="0"/>
          <w:i w:val="0"/>
          <w:sz w:val="22"/>
          <w:rtl/>
        </w:rPr>
        <w:t xml:space="preserve"> تقبل هذه الشروط كاملةً ودون تعديل بأول ما يقع من الأفعال التالية:</w:t>
      </w:r>
    </w:p>
    <w:p>
      <w:pPr>
        <w:spacing w:after="40"/>
        <w:ind w:right="709" w:hanging="425"/>
      </w:pPr>
      <w:r>
        <w:rPr>
          <w:rFonts w:ascii="Times New Roman" w:hAnsi="Times New Roman" w:cs="Times New Roman" w:eastAsia="Times New Roman"/>
          <w:b w:val="0"/>
          <w:i w:val="0"/>
          <w:sz w:val="22"/>
          <w:rtl/>
        </w:rPr>
        <w:t>1) سداد فاتورة أصدرها المرخِّص استنادًا إلى استمارة طلب، كاملةً أو بمقدار الدفعة الأولى؛</w:t>
      </w:r>
    </w:p>
    <w:p>
      <w:pPr>
        <w:spacing w:after="40"/>
        <w:ind w:right="709" w:hanging="425"/>
      </w:pPr>
      <w:r>
        <w:rPr>
          <w:rFonts w:ascii="Times New Roman" w:hAnsi="Times New Roman" w:cs="Times New Roman" w:eastAsia="Times New Roman"/>
          <w:b w:val="0"/>
          <w:i w:val="0"/>
          <w:sz w:val="22"/>
          <w:rtl/>
        </w:rPr>
        <w:t>2) توقيع استمارة طلب أو تأكيدها بطريقة أخرى؛</w:t>
      </w:r>
    </w:p>
    <w:p>
      <w:pPr>
        <w:spacing w:after="40"/>
        <w:ind w:right="709" w:hanging="425"/>
      </w:pPr>
      <w:r>
        <w:rPr>
          <w:rFonts w:ascii="Times New Roman" w:hAnsi="Times New Roman" w:cs="Times New Roman" w:eastAsia="Times New Roman"/>
          <w:b w:val="0"/>
          <w:i w:val="0"/>
          <w:sz w:val="22"/>
          <w:rtl/>
        </w:rPr>
        <w:t>3) بدء الاستخدام الفعلي للبرمجية، بما في ذلك أول دخول إلى ARSY AI Space ببيانات اعتماد أصدرها المرخِّص، أو تثبيت نسخة On-Premise، أو تفعيل مفتاح ترخيص؛</w:t>
      </w:r>
    </w:p>
    <w:p>
      <w:pPr>
        <w:spacing w:after="40"/>
        <w:ind w:right="709" w:hanging="425"/>
      </w:pPr>
      <w:r>
        <w:rPr>
          <w:rFonts w:ascii="Times New Roman" w:hAnsi="Times New Roman" w:cs="Times New Roman" w:eastAsia="Times New Roman"/>
          <w:b w:val="0"/>
          <w:i w:val="0"/>
          <w:sz w:val="22"/>
          <w:rtl/>
        </w:rPr>
        <w:t>4) وضع علامة الموافقة على هذه الشروط عند التسجيل في ARSY AI Space.</w:t>
      </w:r>
    </w:p>
    <w:p>
      <w:r>
        <w:rPr>
          <w:rFonts w:ascii="Times New Roman" w:hAnsi="Times New Roman" w:cs="Times New Roman" w:eastAsia="Times New Roman"/>
          <w:b w:val="0"/>
          <w:i w:val="0"/>
          <w:sz w:val="22"/>
          <w:rtl/>
        </w:rPr>
        <w:t>3.3. يُعدّ العقد منعقدًا لحظة القبول ويستمر طوال مدة الترخيص، مع مراعاة البند C.12.</w:t>
      </w:r>
    </w:p>
    <w:p>
      <w:r>
        <w:rPr>
          <w:rFonts w:ascii="Times New Roman" w:hAnsi="Times New Roman" w:cs="Times New Roman" w:eastAsia="Times New Roman"/>
          <w:b w:val="0"/>
          <w:i w:val="0"/>
          <w:sz w:val="22"/>
          <w:rtl/>
        </w:rPr>
        <w:t>3.4. بالقبول، تؤكّد أنك قرأت هذه الشروط والملاحق كاملةً، وأنك تقبلها دون تحفّظ، وأن الشخص القابل يملك صلاحية إلزامك.</w:t>
      </w:r>
    </w:p>
    <w:p>
      <w:r>
        <w:rPr>
          <w:rFonts w:ascii="Times New Roman" w:hAnsi="Times New Roman" w:cs="Times New Roman" w:eastAsia="Times New Roman"/>
          <w:b w:val="0"/>
          <w:i w:val="0"/>
          <w:sz w:val="22"/>
          <w:rtl/>
        </w:rPr>
        <w:t>3.5. القبول المقترن بتعديلات أو تحفّظات أو شروط إضافية أو مغايرة (بما في ذلك أي شروط واردة في أمر الشراء أو بوابة المورّدين أو الشروط العامة للتعامل لديك) مرفوض ولا ينعقد به عقد. وتُدوَّن التعديلات المتفاوَض عليها في اتفاق موقَّع مستقل وفق البند 1.3.</w:t>
      </w:r>
    </w:p>
    <w:p>
      <w:r>
        <w:rPr>
          <w:rFonts w:ascii="Times New Roman" w:hAnsi="Times New Roman" w:cs="Times New Roman" w:eastAsia="Times New Roman"/>
          <w:b w:val="0"/>
          <w:i w:val="0"/>
          <w:sz w:val="22"/>
          <w:rtl/>
        </w:rPr>
        <w:t>3.6. بناءً على طلبك الكتابي، يبرم المرخِّص عقدًا في وثيقة واحدة تستنسخ هذه الشروط. ولا يغيّر ذلك لحظة الانعقاد المحدَّدة في البند 3.3.</w:t>
      </w:r>
    </w:p>
    <w:p>
      <w:pPr>
        <w:pStyle w:val="Heading2"/>
        <w:keepNext/>
      </w:pPr>
      <w:r>
        <w:rPr>
          <w:rFonts w:ascii="Times New Roman" w:hAnsi="Times New Roman" w:cs="Times New Roman" w:eastAsia="Times New Roman"/>
          <w:b/>
          <w:i w:val="0"/>
          <w:sz w:val="23"/>
          <w:rtl/>
        </w:rPr>
        <w:t>4. طبيعة العقد</w:t>
      </w:r>
    </w:p>
    <w:p>
      <w:r>
        <w:rPr>
          <w:rFonts w:ascii="Times New Roman" w:hAnsi="Times New Roman" w:cs="Times New Roman" w:eastAsia="Times New Roman"/>
          <w:b w:val="0"/>
          <w:i w:val="0"/>
          <w:sz w:val="22"/>
          <w:rtl/>
        </w:rPr>
        <w:t>4.1. يمنحك المرخِّص حق استخدام البرمجية ضمن الحدود المبيَّنة في هذه الشروط، وتلتزم أنت بسداد المقابل والتقيّد بالقيود.</w:t>
      </w:r>
    </w:p>
    <w:p>
      <w:r>
        <w:rPr>
          <w:rFonts w:ascii="Times New Roman" w:hAnsi="Times New Roman" w:cs="Times New Roman" w:eastAsia="Times New Roman"/>
          <w:b w:val="0"/>
          <w:i w:val="0"/>
          <w:sz w:val="22"/>
          <w:rtl/>
        </w:rPr>
        <w:t>4.2. يتألف العقد من ترخيص برمجية مقترن بتقديم خدمات — الدعم التقني، وفي نموذج النشر بالسحابة المُدارة، استضافة النسخة التشغيلية وتشغيلها.</w:t>
      </w:r>
    </w:p>
    <w:p>
      <w:r>
        <w:rPr>
          <w:rFonts w:ascii="Times New Roman" w:hAnsi="Times New Roman" w:cs="Times New Roman" w:eastAsia="Times New Roman"/>
          <w:b w:val="0"/>
          <w:i w:val="0"/>
          <w:sz w:val="22"/>
          <w:rtl/>
        </w:rPr>
        <w:t xml:space="preserve">4.3. </w:t>
      </w:r>
      <w:r>
        <w:rPr>
          <w:rFonts w:ascii="Times New Roman" w:hAnsi="Times New Roman" w:cs="Times New Roman" w:eastAsia="Times New Roman"/>
          <w:b/>
          <w:i w:val="0"/>
          <w:sz w:val="22"/>
          <w:rtl/>
        </w:rPr>
        <w:t>لا نقل للملكية.</w:t>
      </w:r>
      <w:r>
        <w:rPr>
          <w:rFonts w:ascii="Times New Roman" w:hAnsi="Times New Roman" w:cs="Times New Roman" w:eastAsia="Times New Roman"/>
          <w:b w:val="0"/>
          <w:i w:val="0"/>
          <w:sz w:val="22"/>
          <w:rtl/>
        </w:rPr>
        <w:t xml:space="preserve"> لا تنتقل إليك أي حقوق ملكية فكرية في البرمجية. وتبقى محفوظةً جميع الحقوق غير الممنوحة صراحةً.</w:t>
      </w:r>
    </w:p>
    <w:p>
      <w:r>
        <w:rPr>
          <w:rFonts w:ascii="Times New Roman" w:hAnsi="Times New Roman" w:cs="Times New Roman" w:eastAsia="Times New Roman"/>
          <w:b w:val="0"/>
          <w:i w:val="0"/>
          <w:sz w:val="22"/>
          <w:rtl/>
        </w:rPr>
        <w:t>4.4. إن المسح المكاني للمواقع والتهيئة وتطوير السيناريوهات والتكامل مع أنظمة معلوماتك وتدريب الأفراد (</w:t>
      </w:r>
      <w:r>
        <w:rPr>
          <w:rFonts w:ascii="Times New Roman" w:hAnsi="Times New Roman" w:cs="Times New Roman" w:eastAsia="Times New Roman"/>
          <w:b/>
          <w:i w:val="0"/>
          <w:sz w:val="22"/>
          <w:rtl/>
        </w:rPr>
        <w:t>«خدمات التنفيذ»</w:t>
      </w:r>
      <w:r>
        <w:rPr>
          <w:rFonts w:ascii="Times New Roman" w:hAnsi="Times New Roman" w:cs="Times New Roman" w:eastAsia="Times New Roman"/>
          <w:b w:val="0"/>
          <w:i w:val="0"/>
          <w:sz w:val="22"/>
          <w:rtl/>
        </w:rPr>
        <w:t>) خارجةٌ عن نطاق هذه الشروط ما لم يُنصّ على خلاف ذلك صراحةً في استمارة الطلب، ويؤدّيها المرخِّص أو من يتعاقد معهم بموجب اتفاق مستقل مع العميل، أو يؤدّيها العميل نفسه.</w:t>
      </w:r>
    </w:p>
    <w:p>
      <w:pPr>
        <w:pStyle w:val="Heading1"/>
        <w:keepNext/>
        <w:jc w:val="center"/>
      </w:pPr>
      <w:r>
        <w:rPr>
          <w:rFonts w:ascii="Times New Roman" w:hAnsi="Times New Roman" w:cs="Times New Roman" w:eastAsia="Times New Roman"/>
          <w:b/>
          <w:i w:val="0"/>
          <w:sz w:val="26"/>
          <w:rtl/>
        </w:rPr>
        <w:t>الجزء A. شروط العملاء</w:t>
      </w:r>
    </w:p>
    <w:p>
      <w:pPr>
        <w:pStyle w:val="Heading2"/>
        <w:keepNext/>
      </w:pPr>
      <w:r>
        <w:rPr>
          <w:rFonts w:ascii="Times New Roman" w:hAnsi="Times New Roman" w:cs="Times New Roman" w:eastAsia="Times New Roman"/>
          <w:b/>
          <w:i w:val="0"/>
          <w:sz w:val="23"/>
          <w:rtl/>
        </w:rPr>
        <w:t>A.1. منح الترخيص</w:t>
      </w:r>
    </w:p>
    <w:p>
      <w:r>
        <w:rPr>
          <w:rFonts w:ascii="Times New Roman" w:hAnsi="Times New Roman" w:cs="Times New Roman" w:eastAsia="Times New Roman"/>
          <w:b w:val="0"/>
          <w:i w:val="0"/>
          <w:sz w:val="22"/>
          <w:rtl/>
        </w:rPr>
        <w:t xml:space="preserve">A.1.1. يمنح المرخِّص العميل ترخيصًا </w:t>
      </w:r>
      <w:r>
        <w:rPr>
          <w:rFonts w:ascii="Times New Roman" w:hAnsi="Times New Roman" w:cs="Times New Roman" w:eastAsia="Times New Roman"/>
          <w:b/>
          <w:i w:val="0"/>
          <w:sz w:val="22"/>
          <w:rtl/>
        </w:rPr>
        <w:t>غير حصري، غير قابل للتحويل، وغير قابل للترخيص من الباطن</w:t>
      </w:r>
      <w:r>
        <w:rPr>
          <w:rFonts w:ascii="Times New Roman" w:hAnsi="Times New Roman" w:cs="Times New Roman" w:eastAsia="Times New Roman"/>
          <w:b w:val="0"/>
          <w:i w:val="0"/>
          <w:sz w:val="22"/>
          <w:rtl/>
        </w:rPr>
        <w:t xml:space="preserve"> لاستخدام البرمجية خلال مدة الترخيص، رهنًا بسداد المقابل.</w:t>
      </w:r>
    </w:p>
    <w:p>
      <w:r>
        <w:rPr>
          <w:rFonts w:ascii="Times New Roman" w:hAnsi="Times New Roman" w:cs="Times New Roman" w:eastAsia="Times New Roman"/>
          <w:b w:val="0"/>
          <w:i w:val="0"/>
          <w:sz w:val="22"/>
          <w:rtl/>
        </w:rPr>
        <w:t xml:space="preserve">A.1.2. </w:t>
      </w:r>
      <w:r>
        <w:rPr>
          <w:rFonts w:ascii="Times New Roman" w:hAnsi="Times New Roman" w:cs="Times New Roman" w:eastAsia="Times New Roman"/>
          <w:b/>
          <w:i w:val="0"/>
          <w:sz w:val="22"/>
          <w:rtl/>
        </w:rPr>
        <w:t>الاستخدامات المسموح بها.</w:t>
      </w:r>
      <w:r>
        <w:rPr>
          <w:rFonts w:ascii="Times New Roman" w:hAnsi="Times New Roman" w:cs="Times New Roman" w:eastAsia="Times New Roman"/>
          <w:b w:val="0"/>
          <w:i w:val="0"/>
          <w:sz w:val="22"/>
          <w:rtl/>
        </w:rPr>
        <w:t xml:space="preserve"> يجيز الترخيص للعميل:</w:t>
      </w:r>
    </w:p>
    <w:p>
      <w:pPr>
        <w:spacing w:after="40"/>
        <w:ind w:right="709" w:hanging="425"/>
      </w:pPr>
      <w:r>
        <w:rPr>
          <w:rFonts w:ascii="Times New Roman" w:hAnsi="Times New Roman" w:cs="Times New Roman" w:eastAsia="Times New Roman"/>
          <w:b w:val="0"/>
          <w:i w:val="0"/>
          <w:sz w:val="22"/>
          <w:rtl/>
        </w:rPr>
        <w:t>1) استنساخ البرمجية في حدود تحميلها في الذاكرة وتشغيلها، بالقدر اللازم لعملها وفق الغرض منها؛</w:t>
      </w:r>
    </w:p>
    <w:p>
      <w:pPr>
        <w:spacing w:after="40"/>
        <w:ind w:right="709" w:hanging="425"/>
      </w:pPr>
      <w:r>
        <w:rPr>
          <w:rFonts w:ascii="Times New Roman" w:hAnsi="Times New Roman" w:cs="Times New Roman" w:eastAsia="Times New Roman"/>
          <w:b w:val="0"/>
          <w:i w:val="0"/>
          <w:sz w:val="22"/>
          <w:rtl/>
        </w:rPr>
        <w:t>2) في نموذج On-Premise، تثبيت نسخة تشغيلية على خادم العميل وتشغيلها؛</w:t>
      </w:r>
    </w:p>
    <w:p>
      <w:pPr>
        <w:spacing w:after="40"/>
        <w:ind w:right="709" w:hanging="425"/>
      </w:pPr>
      <w:r>
        <w:rPr>
          <w:rFonts w:ascii="Times New Roman" w:hAnsi="Times New Roman" w:cs="Times New Roman" w:eastAsia="Times New Roman"/>
          <w:b w:val="0"/>
          <w:i w:val="0"/>
          <w:sz w:val="22"/>
          <w:rtl/>
        </w:rPr>
        <w:t>3) في نموذج السحابة المُدارة، الوصول إلى البرمجية عن بُعد عبر الإنترنت؛</w:t>
      </w:r>
    </w:p>
    <w:p>
      <w:pPr>
        <w:spacing w:after="40"/>
        <w:ind w:right="709" w:hanging="425"/>
      </w:pPr>
      <w:r>
        <w:rPr>
          <w:rFonts w:ascii="Times New Roman" w:hAnsi="Times New Roman" w:cs="Times New Roman" w:eastAsia="Times New Roman"/>
          <w:b w:val="0"/>
          <w:i w:val="0"/>
          <w:sz w:val="22"/>
          <w:rtl/>
        </w:rPr>
        <w:t>4) تثبيت تطبيقات العميل على الأجهزة المسجَّلة واستخدامها؛</w:t>
      </w:r>
    </w:p>
    <w:p>
      <w:pPr>
        <w:spacing w:after="40"/>
        <w:ind w:right="709" w:hanging="425"/>
      </w:pPr>
      <w:r>
        <w:rPr>
          <w:rFonts w:ascii="Times New Roman" w:hAnsi="Times New Roman" w:cs="Times New Roman" w:eastAsia="Times New Roman"/>
          <w:b w:val="0"/>
          <w:i w:val="0"/>
          <w:sz w:val="22"/>
          <w:rtl/>
        </w:rPr>
        <w:t>5) استخدام البرمجية لإنشاء الإجراءات والدورات التدريبية والسيناريوهات وتخزينها وتنفيذها فيما يخص المواقع والآلات المشمولة المدرَجة في استمارة الطلب؛</w:t>
      </w:r>
    </w:p>
    <w:p>
      <w:pPr>
        <w:spacing w:after="40"/>
        <w:ind w:right="709" w:hanging="425"/>
      </w:pPr>
      <w:r>
        <w:rPr>
          <w:rFonts w:ascii="Times New Roman" w:hAnsi="Times New Roman" w:cs="Times New Roman" w:eastAsia="Times New Roman"/>
          <w:b w:val="0"/>
          <w:i w:val="0"/>
          <w:sz w:val="22"/>
          <w:rtl/>
        </w:rPr>
        <w:t>6) استنساخ الوثائق وتوزيعها داخليًا بالقدر اللازم لتدريب مستخدميه.</w:t>
      </w:r>
    </w:p>
    <w:p>
      <w:r>
        <w:rPr>
          <w:rFonts w:ascii="Times New Roman" w:hAnsi="Times New Roman" w:cs="Times New Roman" w:eastAsia="Times New Roman"/>
          <w:b w:val="0"/>
          <w:i w:val="0"/>
          <w:sz w:val="22"/>
          <w:rtl/>
        </w:rPr>
        <w:t xml:space="preserve">A.1.3. </w:t>
      </w:r>
      <w:r>
        <w:rPr>
          <w:rFonts w:ascii="Times New Roman" w:hAnsi="Times New Roman" w:cs="Times New Roman" w:eastAsia="Times New Roman"/>
          <w:b/>
          <w:i w:val="0"/>
          <w:sz w:val="22"/>
          <w:rtl/>
        </w:rPr>
        <w:t>الإقليم:</w:t>
      </w:r>
      <w:r>
        <w:rPr>
          <w:rFonts w:ascii="Times New Roman" w:hAnsi="Times New Roman" w:cs="Times New Roman" w:eastAsia="Times New Roman"/>
          <w:b w:val="0"/>
          <w:i w:val="0"/>
          <w:sz w:val="22"/>
          <w:rtl/>
        </w:rPr>
        <w:t xml:space="preserve"> العالم كافةً، باستثناء أي ولاية قضائية يكون الاستخدام فيها محظورًا بموجب البند C.14. وفي نموذج On-Premise، يقتصر الاستخدام على المواقع المدرَجة في استمارة الطلب.</w:t>
      </w:r>
    </w:p>
    <w:p>
      <w:r>
        <w:rPr>
          <w:rFonts w:ascii="Times New Roman" w:hAnsi="Times New Roman" w:cs="Times New Roman" w:eastAsia="Times New Roman"/>
          <w:b w:val="0"/>
          <w:i w:val="0"/>
          <w:sz w:val="22"/>
          <w:rtl/>
        </w:rPr>
        <w:t xml:space="preserve">A.1.4. </w:t>
      </w:r>
      <w:r>
        <w:rPr>
          <w:rFonts w:ascii="Times New Roman" w:hAnsi="Times New Roman" w:cs="Times New Roman" w:eastAsia="Times New Roman"/>
          <w:b/>
          <w:i w:val="0"/>
          <w:sz w:val="22"/>
          <w:rtl/>
        </w:rPr>
        <w:t>الغرض.</w:t>
      </w:r>
      <w:r>
        <w:rPr>
          <w:rFonts w:ascii="Times New Roman" w:hAnsi="Times New Roman" w:cs="Times New Roman" w:eastAsia="Times New Roman"/>
          <w:b w:val="0"/>
          <w:i w:val="0"/>
          <w:sz w:val="22"/>
          <w:rtl/>
        </w:rPr>
        <w:t xml:space="preserve"> تُرخَّص البرمجية لأغراض العميل الداخلية في التشغيل والصيانة والتدريب. أما استخدامها لتقديم خدمات إلى الغير، بما في ذلك أسلوب مكتب الخدمة أو التعهيد أو الاستخدام المشترك (بما في ذلك مع شركات تابعة غير مسمّاة في استمارة الطلب)، فيستلزم موافقة المرخِّص الكتابية المسبقة.</w:t>
      </w:r>
    </w:p>
    <w:p>
      <w:r>
        <w:rPr>
          <w:rFonts w:ascii="Times New Roman" w:hAnsi="Times New Roman" w:cs="Times New Roman" w:eastAsia="Times New Roman"/>
          <w:b w:val="0"/>
          <w:i w:val="0"/>
          <w:sz w:val="22"/>
          <w:rtl/>
        </w:rPr>
        <w:t>A.1.5. يسري الترخيص في التاريخ المحدَّد في البند A.4.3، بصرف النظر عن تاريخ التوقيع المقابل على أي وثيقة.</w:t>
      </w:r>
    </w:p>
    <w:p>
      <w:pPr>
        <w:pStyle w:val="Heading2"/>
        <w:keepNext/>
      </w:pPr>
      <w:r>
        <w:rPr>
          <w:rFonts w:ascii="Times New Roman" w:hAnsi="Times New Roman" w:cs="Times New Roman" w:eastAsia="Times New Roman"/>
          <w:b/>
          <w:i w:val="0"/>
          <w:sz w:val="23"/>
          <w:rtl/>
        </w:rPr>
        <w:t>A.2. الحدود الكمية</w:t>
      </w:r>
    </w:p>
    <w:p>
      <w:r>
        <w:rPr>
          <w:rFonts w:ascii="Times New Roman" w:hAnsi="Times New Roman" w:cs="Times New Roman" w:eastAsia="Times New Roman"/>
          <w:b w:val="0"/>
          <w:i w:val="0"/>
          <w:sz w:val="22"/>
          <w:rtl/>
        </w:rPr>
        <w:t>A.2.1. يتقيّد الاستخدام بالخطة المشتراة (الملحق 1) وباستمارة الطلب: عدد المواقع، والحد الأقصى لعدد الأجهزة، وجلسات مؤتمرات الفيديو المتزامنة، ومدة الاحتفاظ بتسجيلات الجلسات، وعدد الدورات التدريبية، وتوافر الوحدات والميزات.</w:t>
      </w:r>
    </w:p>
    <w:p>
      <w:r>
        <w:rPr>
          <w:rFonts w:ascii="Times New Roman" w:hAnsi="Times New Roman" w:cs="Times New Roman" w:eastAsia="Times New Roman"/>
          <w:b w:val="0"/>
          <w:i w:val="0"/>
          <w:sz w:val="22"/>
          <w:rtl/>
        </w:rPr>
        <w:t xml:space="preserve">A.2.2. </w:t>
      </w:r>
      <w:r>
        <w:rPr>
          <w:rFonts w:ascii="Times New Roman" w:hAnsi="Times New Roman" w:cs="Times New Roman" w:eastAsia="Times New Roman"/>
          <w:b/>
          <w:i w:val="0"/>
          <w:sz w:val="22"/>
          <w:rtl/>
        </w:rPr>
        <w:t>المستخدمون غير محدودين.</w:t>
      </w:r>
      <w:r>
        <w:rPr>
          <w:rFonts w:ascii="Times New Roman" w:hAnsi="Times New Roman" w:cs="Times New Roman" w:eastAsia="Times New Roman"/>
          <w:b w:val="0"/>
          <w:i w:val="0"/>
          <w:sz w:val="22"/>
          <w:rtl/>
        </w:rPr>
        <w:t xml:space="preserve"> فوردية من عشرة مشغّلين ووردية من عشرة آلاف تكلّفان المبلغ ذاته.</w:t>
      </w:r>
    </w:p>
    <w:p>
      <w:r>
        <w:rPr>
          <w:rFonts w:ascii="Times New Roman" w:hAnsi="Times New Roman" w:cs="Times New Roman" w:eastAsia="Times New Roman"/>
          <w:b w:val="0"/>
          <w:i w:val="0"/>
          <w:sz w:val="22"/>
          <w:rtl/>
        </w:rPr>
        <w:t>A.2.3. يجوز للعميل في أي وقت زيادة عدد الآلات المشمولة أو الأجهزة أو المواقع بتقديم استمارة طلب. وتسري الزيادة في اليوم الأول من الشهر التالي للسداد ما لم تنص استمارة الطلب على خلاف ذلك؛ ويُحتسَب الشهر الناقص بالتناسب حسب أيام التقويم.</w:t>
      </w:r>
    </w:p>
    <w:p>
      <w:r>
        <w:rPr>
          <w:rFonts w:ascii="Times New Roman" w:hAnsi="Times New Roman" w:cs="Times New Roman" w:eastAsia="Times New Roman"/>
          <w:b w:val="0"/>
          <w:i w:val="0"/>
          <w:sz w:val="22"/>
          <w:rtl/>
        </w:rPr>
        <w:t>A.2.4. يسري التخفيض في اليوم الأول من الشهر التالي للشهر الذي يتلقّى فيه المرخِّص الطلب، على ألا يكون قبل انتهاء فترة الاحتساب المدفوعة. ولا يُردّ المقابل المدفوع عن تلك الفترة، إلا وفق ما ينص عليه البند C.12.</w:t>
      </w:r>
    </w:p>
    <w:p>
      <w:r>
        <w:rPr>
          <w:rFonts w:ascii="Times New Roman" w:hAnsi="Times New Roman" w:cs="Times New Roman" w:eastAsia="Times New Roman"/>
          <w:b w:val="0"/>
          <w:i w:val="0"/>
          <w:sz w:val="22"/>
          <w:rtl/>
        </w:rPr>
        <w:t>A.2.5. يجوز للمرخِّص استخدام وسائل تقنية للتحقق من التقيّد بالحدود. وعند تجاوزها، يُخطِر المرخِّص العميل، وعلى العميل خلال عشرة (10) أيام عمل إمّا إعادة الاستخدام إلى حدود استمارة الطلب وإمّا سداد الزائد بأسعار قائمة الأسعار عن كامل مدة التجاوز.</w:t>
      </w:r>
    </w:p>
    <w:p>
      <w:pPr>
        <w:pStyle w:val="Heading2"/>
        <w:keepNext/>
      </w:pPr>
      <w:r>
        <w:rPr>
          <w:rFonts w:ascii="Times New Roman" w:hAnsi="Times New Roman" w:cs="Times New Roman" w:eastAsia="Times New Roman"/>
          <w:b/>
          <w:i w:val="0"/>
          <w:sz w:val="23"/>
          <w:rtl/>
        </w:rPr>
        <w:t>A.3. القيود</w:t>
      </w:r>
    </w:p>
    <w:p>
      <w:r>
        <w:rPr>
          <w:rFonts w:ascii="Times New Roman" w:hAnsi="Times New Roman" w:cs="Times New Roman" w:eastAsia="Times New Roman"/>
          <w:b w:val="0"/>
          <w:i w:val="0"/>
          <w:sz w:val="22"/>
          <w:rtl/>
        </w:rPr>
        <w:t>A.3.1. لا يجوز للعميل، ولا يجوز له أن يجيز للغير:</w:t>
      </w:r>
    </w:p>
    <w:p>
      <w:pPr>
        <w:spacing w:after="40"/>
        <w:ind w:right="709" w:hanging="425"/>
      </w:pPr>
      <w:r>
        <w:rPr>
          <w:rFonts w:ascii="Times New Roman" w:hAnsi="Times New Roman" w:cs="Times New Roman" w:eastAsia="Times New Roman"/>
          <w:b w:val="0"/>
          <w:i w:val="0"/>
          <w:sz w:val="22"/>
          <w:rtl/>
        </w:rPr>
        <w:t>1) توزيع البرمجية أو إتاحتها للغير أو التنازل عن أي حقوق بموجب هذه الشروط أو الترخيص بها من الباطن أو تأجيرها أو إعارتها أو رهنها، إلا بما هو مسموح صراحةً؛</w:t>
      </w:r>
    </w:p>
    <w:p>
      <w:pPr>
        <w:spacing w:after="40"/>
        <w:ind w:right="709" w:hanging="425"/>
      </w:pPr>
      <w:r>
        <w:rPr>
          <w:rFonts w:ascii="Times New Roman" w:hAnsi="Times New Roman" w:cs="Times New Roman" w:eastAsia="Times New Roman"/>
          <w:b w:val="0"/>
          <w:i w:val="0"/>
          <w:sz w:val="22"/>
          <w:rtl/>
        </w:rPr>
        <w:t>2) تعديل البرمجية أو تكييفها أو إنشاء أعمال مشتقّة منها؛</w:t>
      </w:r>
    </w:p>
    <w:p>
      <w:pPr>
        <w:spacing w:after="40"/>
        <w:ind w:right="709" w:hanging="425"/>
      </w:pPr>
      <w:r>
        <w:rPr>
          <w:rFonts w:ascii="Times New Roman" w:hAnsi="Times New Roman" w:cs="Times New Roman" w:eastAsia="Times New Roman"/>
          <w:b w:val="0"/>
          <w:i w:val="0"/>
          <w:sz w:val="22"/>
          <w:rtl/>
        </w:rPr>
        <w:t>3) فك ترجمة البرمجية أو فك تجميعها أو الهندسة العكسية لها، أو استخراج أوزان النماذج المدرَّبة أو معاملاتها، أو استخدام مخرجات البرمجية لتدريب نماذج تعلّم آلي منافسة؛</w:t>
      </w:r>
    </w:p>
    <w:p>
      <w:pPr>
        <w:spacing w:after="40"/>
        <w:ind w:right="709" w:hanging="425"/>
      </w:pPr>
      <w:r>
        <w:rPr>
          <w:rFonts w:ascii="Times New Roman" w:hAnsi="Times New Roman" w:cs="Times New Roman" w:eastAsia="Times New Roman"/>
          <w:b w:val="0"/>
          <w:i w:val="0"/>
          <w:sz w:val="22"/>
          <w:rtl/>
        </w:rPr>
        <w:t>4) إزالة إشعارات الملكية أو العلامات التجارية أو معلومات الإصدار أو الترخيص أو تغييرها أو إخفاءها؛</w:t>
      </w:r>
    </w:p>
    <w:p>
      <w:pPr>
        <w:spacing w:after="40"/>
        <w:ind w:right="709" w:hanging="425"/>
      </w:pPr>
      <w:r>
        <w:rPr>
          <w:rFonts w:ascii="Times New Roman" w:hAnsi="Times New Roman" w:cs="Times New Roman" w:eastAsia="Times New Roman"/>
          <w:b w:val="0"/>
          <w:i w:val="0"/>
          <w:sz w:val="22"/>
          <w:rtl/>
        </w:rPr>
        <w:t>5) الالتفاف على وسائل الحماية التقنية أو مفاتيح الترخيص أو آليات قياس الاستخدام أو محاولة ذلك؛</w:t>
      </w:r>
    </w:p>
    <w:p>
      <w:pPr>
        <w:spacing w:after="40"/>
        <w:ind w:right="709" w:hanging="425"/>
      </w:pPr>
      <w:r>
        <w:rPr>
          <w:rFonts w:ascii="Times New Roman" w:hAnsi="Times New Roman" w:cs="Times New Roman" w:eastAsia="Times New Roman"/>
          <w:b w:val="0"/>
          <w:i w:val="0"/>
          <w:sz w:val="22"/>
          <w:rtl/>
        </w:rPr>
        <w:t>6) إجراء اختبارات تحميل أو اختبارات اختراق أو غيرها من أبحاث الأمن على بنية المرخِّص التحتية دون اتفاق كتابي مسبق مع المرخِّص على النطاق والتوقيت؛</w:t>
      </w:r>
    </w:p>
    <w:p>
      <w:pPr>
        <w:spacing w:after="40"/>
        <w:ind w:right="709" w:hanging="425"/>
      </w:pPr>
      <w:r>
        <w:rPr>
          <w:rFonts w:ascii="Times New Roman" w:hAnsi="Times New Roman" w:cs="Times New Roman" w:eastAsia="Times New Roman"/>
          <w:b w:val="0"/>
          <w:i w:val="0"/>
          <w:sz w:val="22"/>
          <w:rtl/>
        </w:rPr>
        <w:t>7) استخدام البرمجية لبناء منتج منافس، أو منح الوصول إليها لأي شخص يعمل في تطوير منتج منافس.</w:t>
      </w:r>
    </w:p>
    <w:p>
      <w:r>
        <w:rPr>
          <w:rFonts w:ascii="Times New Roman" w:hAnsi="Times New Roman" w:cs="Times New Roman" w:eastAsia="Times New Roman"/>
          <w:b w:val="0"/>
          <w:i w:val="0"/>
          <w:sz w:val="22"/>
          <w:rtl/>
        </w:rPr>
        <w:t>A.3.2. لا يُطبَّق البندان A.3.1(2) وA.3.1(3) في الحدود التي يكون فيها الفعل المعني مسموحًا صراحةً بموجب قواعد آمرة لا يجوز استبعادها بالعقد. وقبل ممارسة أي حق من هذا القبيل، يطلب العميل أولًا من المرخِّص معلومات التشغيل البيني اللازمة، فيقدّمها المرخِّص بشروط معقولة.</w:t>
      </w:r>
    </w:p>
    <w:p>
      <w:r>
        <w:rPr>
          <w:rFonts w:ascii="Times New Roman" w:hAnsi="Times New Roman" w:cs="Times New Roman" w:eastAsia="Times New Roman"/>
          <w:b w:val="0"/>
          <w:i w:val="0"/>
          <w:sz w:val="22"/>
          <w:rtl/>
        </w:rPr>
        <w:t>A.3.3. يضمن العميل تقيّد جميع مستخدميه وموظفيه ومتعاقديه بهذه القيود، ويكون مسؤولًا عن أفعالهم وامتناعاتهم كأفعاله هو.</w:t>
      </w:r>
    </w:p>
    <w:p>
      <w:pPr>
        <w:pStyle w:val="Heading2"/>
        <w:keepNext/>
      </w:pPr>
      <w:r>
        <w:rPr>
          <w:rFonts w:ascii="Times New Roman" w:hAnsi="Times New Roman" w:cs="Times New Roman" w:eastAsia="Times New Roman"/>
          <w:b/>
          <w:i w:val="0"/>
          <w:sz w:val="23"/>
          <w:rtl/>
        </w:rPr>
        <w:t>A.4. التقديم والقبول</w:t>
      </w:r>
    </w:p>
    <w:p>
      <w:r>
        <w:rPr>
          <w:rFonts w:ascii="Times New Roman" w:hAnsi="Times New Roman" w:cs="Times New Roman" w:eastAsia="Times New Roman"/>
          <w:b w:val="0"/>
          <w:i w:val="0"/>
          <w:sz w:val="22"/>
          <w:rtl/>
        </w:rPr>
        <w:t xml:space="preserve">A.4.1. </w:t>
      </w:r>
      <w:r>
        <w:rPr>
          <w:rFonts w:ascii="Times New Roman" w:hAnsi="Times New Roman" w:cs="Times New Roman" w:eastAsia="Times New Roman"/>
          <w:b/>
          <w:i w:val="0"/>
          <w:sz w:val="22"/>
          <w:rtl/>
        </w:rPr>
        <w:t>السحابة المُدارة.</w:t>
      </w:r>
      <w:r>
        <w:rPr>
          <w:rFonts w:ascii="Times New Roman" w:hAnsi="Times New Roman" w:cs="Times New Roman" w:eastAsia="Times New Roman"/>
          <w:b w:val="0"/>
          <w:i w:val="0"/>
          <w:sz w:val="22"/>
          <w:rtl/>
        </w:rPr>
        <w:t xml:space="preserve"> خلال خمسة (5) أيام عمل من القبول، يهيّئ المرخِّص النسخة التشغيلية ويرسل بيانات اعتماد المسؤول إلى البريد الإلكتروني المبيَّن في استمارة الطلب.</w:t>
      </w:r>
    </w:p>
    <w:p>
      <w:r>
        <w:rPr>
          <w:rFonts w:ascii="Times New Roman" w:hAnsi="Times New Roman" w:cs="Times New Roman" w:eastAsia="Times New Roman"/>
          <w:b w:val="0"/>
          <w:i w:val="0"/>
          <w:sz w:val="22"/>
          <w:rtl/>
        </w:rPr>
        <w:t xml:space="preserve">A.4.2. </w:t>
      </w:r>
      <w:r>
        <w:rPr>
          <w:rFonts w:ascii="Times New Roman" w:hAnsi="Times New Roman" w:cs="Times New Roman" w:eastAsia="Times New Roman"/>
          <w:b/>
          <w:i w:val="0"/>
          <w:sz w:val="22"/>
          <w:rtl/>
        </w:rPr>
        <w:t>On-Premise.</w:t>
      </w:r>
      <w:r>
        <w:rPr>
          <w:rFonts w:ascii="Times New Roman" w:hAnsi="Times New Roman" w:cs="Times New Roman" w:eastAsia="Times New Roman"/>
          <w:b w:val="0"/>
          <w:i w:val="0"/>
          <w:sz w:val="22"/>
          <w:rtl/>
        </w:rPr>
        <w:t xml:space="preserve"> يسلّم المرخِّص العميل حزمة النسخة التشغيلية ومفتاح الترخيص عبر رابط تنزيل أو على وسيط مادي. ومتطلبات الخادم مبيَّنة في الملحق 5. ويقع على العميل ضمان استيفاء بنيته التحتية لتلك المتطلبات؛ ولا يُعفيه عدم الاستيفاء من الالتزام بالسداد.</w:t>
      </w:r>
    </w:p>
    <w:p>
      <w:r>
        <w:rPr>
          <w:rFonts w:ascii="Times New Roman" w:hAnsi="Times New Roman" w:cs="Times New Roman" w:eastAsia="Times New Roman"/>
          <w:b w:val="0"/>
          <w:i w:val="0"/>
          <w:sz w:val="22"/>
          <w:rtl/>
        </w:rPr>
        <w:t xml:space="preserve">A.4.3. </w:t>
      </w:r>
      <w:r>
        <w:rPr>
          <w:rFonts w:ascii="Times New Roman" w:hAnsi="Times New Roman" w:cs="Times New Roman" w:eastAsia="Times New Roman"/>
          <w:b/>
          <w:i w:val="0"/>
          <w:sz w:val="22"/>
          <w:rtl/>
        </w:rPr>
        <w:t>تاريخ نفاذ المنح.</w:t>
      </w:r>
      <w:r>
        <w:rPr>
          <w:rFonts w:ascii="Times New Roman" w:hAnsi="Times New Roman" w:cs="Times New Roman" w:eastAsia="Times New Roman"/>
          <w:b w:val="0"/>
          <w:i w:val="0"/>
          <w:sz w:val="22"/>
          <w:rtl/>
        </w:rPr>
        <w:t xml:space="preserve"> يُمنح الترخيص وتبدأ مدة الترخيص في تاريخ إصدار بيانات الاعتماد (السحابة المُدارة) أو تسليم رابط التنزيل أو الوسيط والمفتاح (On-Premise)، ما لم تنص استمارة الطلب على خلاف ذلك.</w:t>
      </w:r>
    </w:p>
    <w:p>
      <w:r>
        <w:rPr>
          <w:rFonts w:ascii="Times New Roman" w:hAnsi="Times New Roman" w:cs="Times New Roman" w:eastAsia="Times New Roman"/>
          <w:b w:val="0"/>
          <w:i w:val="0"/>
          <w:sz w:val="22"/>
          <w:rtl/>
        </w:rPr>
        <w:t>A.4.4. يوفّر العميل، على نفقته: سعة الشبكة، والتغذية الكهربائية، والاتصال بين الأجهزة والنسخة التشغيلية، والظروف التشغيلية اللازمة للمسح المكاني للمواقع.</w:t>
      </w:r>
    </w:p>
    <w:p>
      <w:pPr>
        <w:pStyle w:val="Heading2"/>
        <w:keepNext/>
      </w:pPr>
      <w:r>
        <w:rPr>
          <w:rFonts w:ascii="Times New Roman" w:hAnsi="Times New Roman" w:cs="Times New Roman" w:eastAsia="Times New Roman"/>
          <w:b/>
          <w:i w:val="0"/>
          <w:sz w:val="23"/>
          <w:rtl/>
        </w:rPr>
        <w:t>A.5. الدعم ومستويات الخدمة</w:t>
      </w:r>
    </w:p>
    <w:p>
      <w:r>
        <w:rPr>
          <w:rFonts w:ascii="Times New Roman" w:hAnsi="Times New Roman" w:cs="Times New Roman" w:eastAsia="Times New Roman"/>
          <w:b w:val="0"/>
          <w:i w:val="0"/>
          <w:sz w:val="22"/>
          <w:rtl/>
        </w:rPr>
        <w:t>A.5.1. يُقدَّم الدعم وفق الملحق 3 للخطة المشتراة.</w:t>
      </w:r>
    </w:p>
    <w:p>
      <w:r>
        <w:rPr>
          <w:rFonts w:ascii="Times New Roman" w:hAnsi="Times New Roman" w:cs="Times New Roman" w:eastAsia="Times New Roman"/>
          <w:b w:val="0"/>
          <w:i w:val="0"/>
          <w:sz w:val="22"/>
          <w:rtl/>
        </w:rPr>
        <w:t>A.5.2. يقدّم المرخِّص الدعم مباشرةً عبر القنوات المبيَّنة في الملحق 3. ويجوز للمرخِّص الاستعانة بمتعاقدين من الباطن لتقديم الدعم؛ ولا يغيّر ذلك نطاق التزاماته تجاه العميل.</w:t>
      </w:r>
    </w:p>
    <w:p>
      <w:r>
        <w:rPr>
          <w:rFonts w:ascii="Times New Roman" w:hAnsi="Times New Roman" w:cs="Times New Roman" w:eastAsia="Times New Roman"/>
          <w:b w:val="0"/>
          <w:i w:val="0"/>
          <w:sz w:val="22"/>
          <w:rtl/>
        </w:rPr>
        <w:t xml:space="preserve">A.5.3. </w:t>
      </w:r>
      <w:r>
        <w:rPr>
          <w:rFonts w:ascii="Times New Roman" w:hAnsi="Times New Roman" w:cs="Times New Roman" w:eastAsia="Times New Roman"/>
          <w:b/>
          <w:i w:val="0"/>
          <w:sz w:val="22"/>
          <w:rtl/>
        </w:rPr>
        <w:t>لا تنطبق التزامات التوافر إلا على نموذج السحابة المُدارة، وعلى خطتي Professional (99٪) وEnterprise (99.5٪) فقط.</w:t>
      </w:r>
      <w:r>
        <w:rPr>
          <w:rFonts w:ascii="Times New Roman" w:hAnsi="Times New Roman" w:cs="Times New Roman" w:eastAsia="Times New Roman"/>
          <w:b w:val="0"/>
          <w:i w:val="0"/>
          <w:sz w:val="22"/>
          <w:rtl/>
        </w:rPr>
        <w:t xml:space="preserve"> ولا يُقدَّم أي التزام توافر لخطتي Lite وStarter. وفي نموذج On-Premise، يقع توافر النسخة التشغيلية على العميل، وتقتصر التزامات المرخِّص على أزمنة الاستجابة.</w:t>
      </w:r>
    </w:p>
    <w:p>
      <w:r>
        <w:rPr>
          <w:rFonts w:ascii="Times New Roman" w:hAnsi="Times New Roman" w:cs="Times New Roman" w:eastAsia="Times New Roman"/>
          <w:b w:val="0"/>
          <w:i w:val="0"/>
          <w:sz w:val="22"/>
          <w:rtl/>
        </w:rPr>
        <w:t xml:space="preserve">A.5.4. تُمنح أرصدة الخدمة بموجب الملحق 3 على هيئة تمديد لمدة الترخيص، وهي </w:t>
      </w:r>
      <w:r>
        <w:rPr>
          <w:rFonts w:ascii="Times New Roman" w:hAnsi="Times New Roman" w:cs="Times New Roman" w:eastAsia="Times New Roman"/>
          <w:b/>
          <w:i w:val="0"/>
          <w:sz w:val="22"/>
          <w:rtl/>
        </w:rPr>
        <w:t>سبيل الانتصاف الوحيد والحصري للعميل</w:t>
      </w:r>
      <w:r>
        <w:rPr>
          <w:rFonts w:ascii="Times New Roman" w:hAnsi="Times New Roman" w:cs="Times New Roman" w:eastAsia="Times New Roman"/>
          <w:b w:val="0"/>
          <w:i w:val="0"/>
          <w:sz w:val="22"/>
          <w:rtl/>
        </w:rPr>
        <w:t xml:space="preserve"> عند عدم الوفاء بالتزام توافر.</w:t>
      </w:r>
    </w:p>
    <w:p>
      <w:pPr>
        <w:pStyle w:val="Heading2"/>
        <w:keepNext/>
      </w:pPr>
      <w:r>
        <w:rPr>
          <w:rFonts w:ascii="Times New Roman" w:hAnsi="Times New Roman" w:cs="Times New Roman" w:eastAsia="Times New Roman"/>
          <w:b/>
          <w:i w:val="0"/>
          <w:sz w:val="23"/>
          <w:rtl/>
        </w:rPr>
        <w:t>A.6. التحديثات وتغييرات الوظائف</w:t>
      </w:r>
    </w:p>
    <w:p>
      <w:r>
        <w:rPr>
          <w:rFonts w:ascii="Times New Roman" w:hAnsi="Times New Roman" w:cs="Times New Roman" w:eastAsia="Times New Roman"/>
          <w:b w:val="0"/>
          <w:i w:val="0"/>
          <w:sz w:val="22"/>
          <w:rtl/>
        </w:rPr>
        <w:t>A.6.1. تُدرَج التحديثات ضمن المقابل خلال مدة الترخيص. وفي نموذج السحابة المُدارة يطبّقها المرخِّص. وفي نموذج On-Premise يتيحها المرخِّص ويثبّتها العميل.</w:t>
      </w:r>
    </w:p>
    <w:p>
      <w:r>
        <w:rPr>
          <w:rFonts w:ascii="Times New Roman" w:hAnsi="Times New Roman" w:cs="Times New Roman" w:eastAsia="Times New Roman"/>
          <w:b w:val="0"/>
          <w:i w:val="0"/>
          <w:sz w:val="22"/>
          <w:rtl/>
        </w:rPr>
        <w:t>A.6.2. يجوز للمرخِّص تطوير البرمجية وتغيير طريقة تنفيذ ميزات معيَّنة. ولن يزيل المرخِّص، خلال فترة احتساب مدفوعة، أي ميزة مدرَجة صراحةً في الملحق 1 للخطة التي دفع العميل مقابلها، دون إشعار مسبق لا يقل عن ستين (60) يومًا. وإذا أدّت الإزالة إلى تدهور جوهري للبرمجية بالنسبة إلى العميل، جاز له الفسخ واسترداد المقابل عن الجزء غير المستخدَم من فترة الاحتساب المدفوعة.</w:t>
      </w:r>
    </w:p>
    <w:p>
      <w:r>
        <w:rPr>
          <w:rFonts w:ascii="Times New Roman" w:hAnsi="Times New Roman" w:cs="Times New Roman" w:eastAsia="Times New Roman"/>
          <w:b w:val="0"/>
          <w:i w:val="0"/>
          <w:sz w:val="22"/>
          <w:rtl/>
        </w:rPr>
        <w:t>A.6.3. الميزات الموصوفة في أي موضع بأنها «قريبًا» أو «قيد التطوير» أو «تجريبية» أو ما شابه ليست جزءًا من العقد ولا تشكّل التزامًا.</w:t>
      </w:r>
    </w:p>
    <w:p>
      <w:r>
        <w:rPr>
          <w:rFonts w:ascii="Times New Roman" w:hAnsi="Times New Roman" w:cs="Times New Roman" w:eastAsia="Times New Roman"/>
          <w:b w:val="0"/>
          <w:i w:val="0"/>
          <w:sz w:val="22"/>
          <w:rtl/>
        </w:rPr>
        <w:t>A.6.4. على العميل الذي يستخدم نموذج On-Premise تثبيت التحديثات التي يصنّفها المرخِّص بأنها حرِجة أمنيًا خلال ثلاثين (30) يومًا من إصدارها. ويُعفي التقصير في ذلك المرخِّصَ من المسؤولية عن التبعات المنسوبة إلى الثغرة التي عالجها التحديث.</w:t>
      </w:r>
    </w:p>
    <w:p>
      <w:pPr>
        <w:pStyle w:val="Heading1"/>
        <w:keepNext/>
        <w:jc w:val="center"/>
      </w:pPr>
      <w:r>
        <w:rPr>
          <w:rFonts w:ascii="Times New Roman" w:hAnsi="Times New Roman" w:cs="Times New Roman" w:eastAsia="Times New Roman"/>
          <w:b/>
          <w:i w:val="0"/>
          <w:sz w:val="26"/>
          <w:rtl/>
        </w:rPr>
        <w:t>الجزء C. الشروط العامة</w:t>
      </w:r>
    </w:p>
    <w:p>
      <w:pPr>
        <w:pStyle w:val="Heading2"/>
        <w:keepNext/>
      </w:pPr>
      <w:r>
        <w:rPr>
          <w:rFonts w:ascii="Times New Roman" w:hAnsi="Times New Roman" w:cs="Times New Roman" w:eastAsia="Times New Roman"/>
          <w:b/>
          <w:i w:val="0"/>
          <w:sz w:val="23"/>
          <w:rtl/>
        </w:rPr>
        <w:t>C.1. المقابل والدفع</w:t>
      </w:r>
    </w:p>
    <w:p>
      <w:r>
        <w:rPr>
          <w:rFonts w:ascii="Times New Roman" w:hAnsi="Times New Roman" w:cs="Times New Roman" w:eastAsia="Times New Roman"/>
          <w:b w:val="0"/>
          <w:i w:val="0"/>
          <w:sz w:val="22"/>
          <w:rtl/>
        </w:rPr>
        <w:t xml:space="preserve">C.1.1. </w:t>
      </w:r>
      <w:r>
        <w:rPr>
          <w:rFonts w:ascii="Times New Roman" w:hAnsi="Times New Roman" w:cs="Times New Roman" w:eastAsia="Times New Roman"/>
          <w:b/>
          <w:i w:val="0"/>
          <w:sz w:val="22"/>
          <w:rtl/>
        </w:rPr>
        <w:t>بنية المقابل:</w:t>
      </w:r>
    </w:p>
    <w:p>
      <w:pPr>
        <w:spacing w:after="40"/>
        <w:ind w:right="709" w:hanging="425"/>
      </w:pPr>
      <w:r>
        <w:rPr>
          <w:rFonts w:ascii="Times New Roman" w:hAnsi="Times New Roman" w:cs="Times New Roman" w:eastAsia="Times New Roman"/>
          <w:b w:val="0"/>
          <w:i w:val="0"/>
          <w:sz w:val="22"/>
          <w:rtl/>
        </w:rPr>
        <w:t xml:space="preserve">1) </w:t>
      </w:r>
      <w:r>
        <w:rPr>
          <w:rFonts w:ascii="Times New Roman" w:hAnsi="Times New Roman" w:cs="Times New Roman" w:eastAsia="Times New Roman"/>
          <w:b/>
          <w:i w:val="0"/>
          <w:sz w:val="22"/>
          <w:rtl/>
        </w:rPr>
        <w:t>رسم اشتراك أساسي لكل موقع</w:t>
      </w:r>
      <w:r>
        <w:rPr>
          <w:rFonts w:ascii="Times New Roman" w:hAnsi="Times New Roman" w:cs="Times New Roman" w:eastAsia="Times New Roman"/>
          <w:b w:val="0"/>
          <w:i w:val="0"/>
          <w:sz w:val="22"/>
          <w:rtl/>
        </w:rPr>
        <w:t>، بحسب الخطة؛</w:t>
      </w:r>
    </w:p>
    <w:p>
      <w:pPr>
        <w:spacing w:after="40"/>
        <w:ind w:right="709" w:hanging="425"/>
      </w:pPr>
      <w:r>
        <w:rPr>
          <w:rFonts w:ascii="Times New Roman" w:hAnsi="Times New Roman" w:cs="Times New Roman" w:eastAsia="Times New Roman"/>
          <w:b w:val="0"/>
          <w:i w:val="0"/>
          <w:sz w:val="22"/>
          <w:rtl/>
        </w:rPr>
        <w:t xml:space="preserve">2) </w:t>
      </w:r>
      <w:r>
        <w:rPr>
          <w:rFonts w:ascii="Times New Roman" w:hAnsi="Times New Roman" w:cs="Times New Roman" w:eastAsia="Times New Roman"/>
          <w:b/>
          <w:i w:val="0"/>
          <w:sz w:val="22"/>
          <w:rtl/>
        </w:rPr>
        <w:t>رسم شهري لكل آلة مشمولة</w:t>
      </w:r>
      <w:r>
        <w:rPr>
          <w:rFonts w:ascii="Times New Roman" w:hAnsi="Times New Roman" w:cs="Times New Roman" w:eastAsia="Times New Roman"/>
          <w:b w:val="0"/>
          <w:i w:val="0"/>
          <w:sz w:val="22"/>
          <w:rtl/>
        </w:rPr>
        <w:t xml:space="preserve"> — فتتناسب التكلفة مع كمية المعدّات المدرَجة تحت الإرشاد بالواقع المعزَّز؛</w:t>
      </w:r>
    </w:p>
    <w:p>
      <w:pPr>
        <w:spacing w:after="40"/>
        <w:ind w:right="709" w:hanging="425"/>
      </w:pPr>
      <w:r>
        <w:rPr>
          <w:rFonts w:ascii="Times New Roman" w:hAnsi="Times New Roman" w:cs="Times New Roman" w:eastAsia="Times New Roman"/>
          <w:b w:val="0"/>
          <w:i w:val="0"/>
          <w:sz w:val="22"/>
          <w:rtl/>
        </w:rPr>
        <w:t>3) رسوم لمرة واحدة ورسوم دورية لخيارات On-Premise (النشر على خادم محلي، وترخيص الخادم المحلي، والتكاملات، ودعم التكاملات) وفق الملحق 2.</w:t>
      </w:r>
    </w:p>
    <w:p>
      <w:r>
        <w:rPr>
          <w:rFonts w:ascii="Times New Roman" w:hAnsi="Times New Roman" w:cs="Times New Roman" w:eastAsia="Times New Roman"/>
          <w:b w:val="0"/>
          <w:i w:val="0"/>
          <w:sz w:val="22"/>
          <w:rtl/>
        </w:rPr>
        <w:t>C.1.2. لا يؤثّر عدد المستخدمين على المقابل.</w:t>
      </w:r>
    </w:p>
    <w:p>
      <w:r>
        <w:rPr>
          <w:rFonts w:ascii="Times New Roman" w:hAnsi="Times New Roman" w:cs="Times New Roman" w:eastAsia="Times New Roman"/>
          <w:b w:val="0"/>
          <w:i w:val="0"/>
          <w:sz w:val="22"/>
          <w:rtl/>
        </w:rPr>
        <w:t>C.1.3. يُحدَّد مقابل كل عقد في استمارة الطلب استنادًا إلى قائمة الأسعار السارية في تاريخ الفاتورة. والأسعار المعروضة على arsy.ai أسعار قائمة إرشادية وليست إيجابًا بشأن المقدار.</w:t>
      </w:r>
    </w:p>
    <w:p>
      <w:r>
        <w:rPr>
          <w:rFonts w:ascii="Times New Roman" w:hAnsi="Times New Roman" w:cs="Times New Roman" w:eastAsia="Times New Roman"/>
          <w:b w:val="0"/>
          <w:i w:val="0"/>
          <w:sz w:val="22"/>
          <w:rtl/>
        </w:rPr>
        <w:t xml:space="preserve">C.1.4. </w:t>
      </w:r>
      <w:r>
        <w:rPr>
          <w:rFonts w:ascii="Times New Roman" w:hAnsi="Times New Roman" w:cs="Times New Roman" w:eastAsia="Times New Roman"/>
          <w:b/>
          <w:i w:val="0"/>
          <w:sz w:val="22"/>
          <w:rtl/>
        </w:rPr>
        <w:t>شروط الدفع:</w:t>
      </w:r>
      <w:r>
        <w:rPr>
          <w:rFonts w:ascii="Times New Roman" w:hAnsi="Times New Roman" w:cs="Times New Roman" w:eastAsia="Times New Roman"/>
          <w:b w:val="0"/>
          <w:i w:val="0"/>
          <w:sz w:val="22"/>
          <w:rtl/>
        </w:rPr>
        <w:t xml:space="preserve"> 100٪ مقدّمًا عن كل فترة احتساب مقابل فاتورة المرخِّص، ما لم تنص استمارة الطلب على خلاف ذلك. وفترة الاحتساب شهر واحد أو سنة واحدة، وفق ما يُختار في استمارة الطلب.</w:t>
      </w:r>
    </w:p>
    <w:p>
      <w:r>
        <w:rPr>
          <w:rFonts w:ascii="Times New Roman" w:hAnsi="Times New Roman" w:cs="Times New Roman" w:eastAsia="Times New Roman"/>
          <w:b w:val="0"/>
          <w:i w:val="0"/>
          <w:sz w:val="22"/>
          <w:rtl/>
        </w:rPr>
        <w:t xml:space="preserve">C.1.5. </w:t>
      </w:r>
      <w:r>
        <w:rPr>
          <w:rFonts w:ascii="Times New Roman" w:hAnsi="Times New Roman" w:cs="Times New Roman" w:eastAsia="Times New Roman"/>
          <w:b/>
          <w:i w:val="0"/>
          <w:sz w:val="22"/>
          <w:rtl/>
        </w:rPr>
        <w:t>الخصم السنوي.</w:t>
      </w:r>
      <w:r>
        <w:rPr>
          <w:rFonts w:ascii="Times New Roman" w:hAnsi="Times New Roman" w:cs="Times New Roman" w:eastAsia="Times New Roman"/>
          <w:b w:val="0"/>
          <w:i w:val="0"/>
          <w:sz w:val="22"/>
          <w:rtl/>
        </w:rPr>
        <w:t xml:space="preserve"> عند اختيار فترة احتساب سنوية، يُطبَّق خصم نسبته عشرون بالمئة (20٪) على مجموع الرسوم الشهرية المقابلة لاثني عشر شهرًا.</w:t>
      </w:r>
    </w:p>
    <w:p>
      <w:r>
        <w:rPr>
          <w:rFonts w:ascii="Times New Roman" w:hAnsi="Times New Roman" w:cs="Times New Roman" w:eastAsia="Times New Roman"/>
          <w:b w:val="0"/>
          <w:i w:val="0"/>
          <w:sz w:val="22"/>
          <w:rtl/>
        </w:rPr>
        <w:t>C.1.6. يُعدّ الدفع منفَّذًا عند قيد المبالغ في حساب المرخِّص. ويتحمّل الدافع جميع الرسوم المصرفية، بما فيها رسوم البنوك المراسِلة.</w:t>
      </w:r>
    </w:p>
    <w:p>
      <w:r>
        <w:rPr>
          <w:rFonts w:ascii="Times New Roman" w:hAnsi="Times New Roman" w:cs="Times New Roman" w:eastAsia="Times New Roman"/>
          <w:b w:val="0"/>
          <w:i w:val="0"/>
          <w:sz w:val="22"/>
          <w:rtl/>
        </w:rPr>
        <w:t xml:space="preserve">C.1.7. </w:t>
      </w:r>
      <w:r>
        <w:rPr>
          <w:rFonts w:ascii="Times New Roman" w:hAnsi="Times New Roman" w:cs="Times New Roman" w:eastAsia="Times New Roman"/>
          <w:b/>
          <w:i w:val="0"/>
          <w:sz w:val="22"/>
          <w:rtl/>
        </w:rPr>
        <w:t>الضرائب.</w:t>
      </w:r>
      <w:r>
        <w:rPr>
          <w:rFonts w:ascii="Times New Roman" w:hAnsi="Times New Roman" w:cs="Times New Roman" w:eastAsia="Times New Roman"/>
          <w:b w:val="0"/>
          <w:i w:val="0"/>
          <w:sz w:val="22"/>
          <w:rtl/>
        </w:rPr>
        <w:t xml:space="preserve"> جميع المبالغ لا تشمل ضريبة القيمة المضافة ولا الضرائب غير المباشرة المماثلة، ويدفعها الطرف المقابل إضافةً بالسعر المنطبق. وإذا كان الطرف المقابل مُلزَمًا قانونًا باقتطاع أو حجز أي مبلغ من الدفعة، زِيد المبلغ المستحق بحيث يتلقّى المرخِّص ما كان سيتلقّاه لولا الاقتطاع، ويقدّم الطرف المقابل الإيصالات الرسمية عن المبالغ المقتطَعة. وحيثما وجب على الطرف المقابل المحاسبة عن الضريبة على التوريد بآلية الاحتساب العكسي أو الوكيل الضريبي في ولايته القضائية، فعل ذلك وقدّم الإثبات عند الطلب.</w:t>
      </w:r>
    </w:p>
    <w:p>
      <w:r>
        <w:rPr>
          <w:rFonts w:ascii="Times New Roman" w:hAnsi="Times New Roman" w:cs="Times New Roman" w:eastAsia="Times New Roman"/>
          <w:b w:val="0"/>
          <w:i w:val="0"/>
          <w:sz w:val="22"/>
          <w:rtl/>
        </w:rPr>
        <w:t xml:space="preserve">C.1.8. </w:t>
      </w:r>
      <w:r>
        <w:rPr>
          <w:rFonts w:ascii="Times New Roman" w:hAnsi="Times New Roman" w:cs="Times New Roman" w:eastAsia="Times New Roman"/>
          <w:b/>
          <w:i w:val="0"/>
          <w:sz w:val="22"/>
          <w:rtl/>
        </w:rPr>
        <w:t>تغييرات الأسعار.</w:t>
      </w:r>
      <w:r>
        <w:rPr>
          <w:rFonts w:ascii="Times New Roman" w:hAnsi="Times New Roman" w:cs="Times New Roman" w:eastAsia="Times New Roman"/>
          <w:b w:val="0"/>
          <w:i w:val="0"/>
          <w:sz w:val="22"/>
          <w:rtl/>
        </w:rPr>
        <w:t xml:space="preserve"> يجوز للمرخِّص تغيير قائمة الأسعار. وتنطبق الأسعار المعدَّلة على فترات الاحتساب التي تبدأ بعد ستين (60) يومًا على الأقل من الإشعار، ولا تنطبق أبدًا على فترة احتساب مدفوعة سلفًا.</w:t>
      </w:r>
    </w:p>
    <w:p>
      <w:r>
        <w:rPr>
          <w:rFonts w:ascii="Times New Roman" w:hAnsi="Times New Roman" w:cs="Times New Roman" w:eastAsia="Times New Roman"/>
          <w:b w:val="0"/>
          <w:i w:val="0"/>
          <w:sz w:val="22"/>
          <w:rtl/>
        </w:rPr>
        <w:t xml:space="preserve">C.1.9. </w:t>
      </w:r>
      <w:r>
        <w:rPr>
          <w:rFonts w:ascii="Times New Roman" w:hAnsi="Times New Roman" w:cs="Times New Roman" w:eastAsia="Times New Roman"/>
          <w:b/>
          <w:i w:val="0"/>
          <w:sz w:val="22"/>
          <w:rtl/>
        </w:rPr>
        <w:t>التأخّر في الدفع.</w:t>
      </w:r>
      <w:r>
        <w:rPr>
          <w:rFonts w:ascii="Times New Roman" w:hAnsi="Times New Roman" w:cs="Times New Roman" w:eastAsia="Times New Roman"/>
          <w:b w:val="0"/>
          <w:i w:val="0"/>
          <w:sz w:val="22"/>
          <w:rtl/>
        </w:rPr>
        <w:t xml:space="preserve"> إذا تأخّر الدفع أكثر من عشرة (10) أيام عمل، جاز للمرخِّص، بعد إشعار، تعليق الوصول حتى سداد المتأخرات. والتعليق ليس إنهاءً، ولا يمدّد مدة الترخيص، ولا يُعفي من الالتزام بالدفع. ويجوز للمرخِّص احتساب فائدة على المبالغ المتأخرة بواقع واحد بالمئة (1٪) شهريًا أو أقصى سعر يجيزه القانون المنطبق، أيّهما أقل، تُستحق يوميًا من تاريخ الاستحقاق حتى السداد.</w:t>
      </w:r>
    </w:p>
    <w:p>
      <w:pPr>
        <w:pStyle w:val="Heading2"/>
        <w:keepNext/>
      </w:pPr>
      <w:r>
        <w:rPr>
          <w:rFonts w:ascii="Times New Roman" w:hAnsi="Times New Roman" w:cs="Times New Roman" w:eastAsia="Times New Roman"/>
          <w:b/>
          <w:i w:val="0"/>
          <w:sz w:val="23"/>
          <w:rtl/>
        </w:rPr>
        <w:t>C.2. السجلات والوثائق</w:t>
      </w:r>
    </w:p>
    <w:p>
      <w:r>
        <w:rPr>
          <w:rFonts w:ascii="Times New Roman" w:hAnsi="Times New Roman" w:cs="Times New Roman" w:eastAsia="Times New Roman"/>
          <w:b w:val="0"/>
          <w:i w:val="0"/>
          <w:sz w:val="22"/>
          <w:rtl/>
        </w:rPr>
        <w:t>C.2.1. يصدر المرخِّص فاتورة عن كل فترة احتساب. وحيثما تستلزم الولاية القضائية للطرف المقابل وثيقة قبول موقَّعة، يصدرها المرخِّص خلال خمسة (5) أيام عمل من انتهاء الفترة المعنية.</w:t>
      </w:r>
    </w:p>
    <w:p>
      <w:r>
        <w:rPr>
          <w:rFonts w:ascii="Times New Roman" w:hAnsi="Times New Roman" w:cs="Times New Roman" w:eastAsia="Times New Roman"/>
          <w:b w:val="0"/>
          <w:i w:val="0"/>
          <w:sz w:val="22"/>
          <w:rtl/>
        </w:rPr>
        <w:t>C.2.2. عند إصدار هذه الوثيقة، على الطرف المقابل توقيعها أو تقديم اعتراض مسبَّب خلال خمسة (5) أيام عمل من الاستلام. وعند تخلّف الأمرين، تُعدّ التزامات المرخِّص عن تلك الفترة منفَّذةً ومقبولةً بالكامل.</w:t>
      </w:r>
    </w:p>
    <w:p>
      <w:r>
        <w:rPr>
          <w:rFonts w:ascii="Times New Roman" w:hAnsi="Times New Roman" w:cs="Times New Roman" w:eastAsia="Times New Roman"/>
          <w:b w:val="0"/>
          <w:i w:val="0"/>
          <w:sz w:val="22"/>
          <w:rtl/>
        </w:rPr>
        <w:t>C.2.3. يعترف الطرفان بالحجية القانونية الكاملة للوثائق الموقَّعة بتوقيع إلكتروني معتمَد والمتبادَلة عبر مزوّدي خدمات التبادل الإلكتروني للوثائق.</w:t>
      </w:r>
    </w:p>
    <w:p>
      <w:pPr>
        <w:pStyle w:val="Heading2"/>
        <w:keepNext/>
      </w:pPr>
      <w:r>
        <w:rPr>
          <w:rFonts w:ascii="Times New Roman" w:hAnsi="Times New Roman" w:cs="Times New Roman" w:eastAsia="Times New Roman"/>
          <w:b/>
          <w:i w:val="0"/>
          <w:sz w:val="23"/>
          <w:rtl/>
        </w:rPr>
        <w:t>C.3. محتوى العميل</w:t>
      </w:r>
    </w:p>
    <w:p>
      <w:r>
        <w:rPr>
          <w:rFonts w:ascii="Times New Roman" w:hAnsi="Times New Roman" w:cs="Times New Roman" w:eastAsia="Times New Roman"/>
          <w:b w:val="0"/>
          <w:i w:val="0"/>
          <w:sz w:val="22"/>
          <w:rtl/>
        </w:rPr>
        <w:t xml:space="preserve">C.3.1. </w:t>
      </w:r>
      <w:r>
        <w:rPr>
          <w:rFonts w:ascii="Times New Roman" w:hAnsi="Times New Roman" w:cs="Times New Roman" w:eastAsia="Times New Roman"/>
          <w:b/>
          <w:i w:val="0"/>
          <w:sz w:val="22"/>
          <w:rtl/>
        </w:rPr>
        <w:t>محتوى العميل ملكٌ للطرف المقابل الذي أدخله في البرمجية أو أنشأه بها.</w:t>
      </w:r>
      <w:r>
        <w:rPr>
          <w:rFonts w:ascii="Times New Roman" w:hAnsi="Times New Roman" w:cs="Times New Roman" w:eastAsia="Times New Roman"/>
          <w:b w:val="0"/>
          <w:i w:val="0"/>
          <w:sz w:val="22"/>
          <w:rtl/>
        </w:rPr>
        <w:t xml:space="preserve"> ولا يكتسب المرخِّص ولا أي من شركاته التابعة أي ملكية أو حقوق أخرى في محتوى العميل، عدا الترخيص المحدود المنصوص عليه في البند C.3.2.</w:t>
      </w:r>
    </w:p>
    <w:p>
      <w:r>
        <w:rPr>
          <w:rFonts w:ascii="Times New Roman" w:hAnsi="Times New Roman" w:cs="Times New Roman" w:eastAsia="Times New Roman"/>
          <w:b w:val="0"/>
          <w:i w:val="0"/>
          <w:sz w:val="22"/>
          <w:rtl/>
        </w:rPr>
        <w:t xml:space="preserve">C.3.2. يمنح الطرف المقابل المرخِّصَ ترخيصًا غير حصري ومجانيًا لاستضافة محتوى العميل وتخزينه ومعالجته وتكييفه تقنيًا </w:t>
      </w:r>
      <w:r>
        <w:rPr>
          <w:rFonts w:ascii="Times New Roman" w:hAnsi="Times New Roman" w:cs="Times New Roman" w:eastAsia="Times New Roman"/>
          <w:b/>
          <w:i w:val="0"/>
          <w:sz w:val="22"/>
          <w:rtl/>
        </w:rPr>
        <w:t>حصرًا بالقدر اللازم لتشغيل البرمجية وتقديم الدعم، ولمدة الترخيص فقط.</w:t>
      </w:r>
      <w:r>
        <w:rPr>
          <w:rFonts w:ascii="Times New Roman" w:hAnsi="Times New Roman" w:cs="Times New Roman" w:eastAsia="Times New Roman"/>
          <w:b w:val="0"/>
          <w:i w:val="0"/>
          <w:sz w:val="22"/>
          <w:rtl/>
        </w:rPr>
        <w:t xml:space="preserve"> وينتهي هذا الترخيص بانتهاء مدة الترخيص، مع مراعاة البند C.11.</w:t>
      </w:r>
    </w:p>
    <w:p>
      <w:r>
        <w:rPr>
          <w:rFonts w:ascii="Times New Roman" w:hAnsi="Times New Roman" w:cs="Times New Roman" w:eastAsia="Times New Roman"/>
          <w:b w:val="0"/>
          <w:i w:val="0"/>
          <w:sz w:val="22"/>
          <w:rtl/>
        </w:rPr>
        <w:t>C.3.3. في نموذج On-Premise، لا يغادر محتوى العميل بنية الطرف المقابل التحتية ولا يُنقل إلى المرخِّص. ولا يصل المرخِّص إلى محتوى العميل إلا حين يطلب الطرف المقابل الدعم، بالقدر والمدة اللازمين لحل الطلب، وبعلم الطرف المقابل.</w:t>
      </w:r>
    </w:p>
    <w:p>
      <w:r>
        <w:rPr>
          <w:rFonts w:ascii="Times New Roman" w:hAnsi="Times New Roman" w:cs="Times New Roman" w:eastAsia="Times New Roman"/>
          <w:b w:val="0"/>
          <w:i w:val="0"/>
          <w:sz w:val="22"/>
          <w:rtl/>
        </w:rPr>
        <w:t>C.3.4. يضمن الطرف المقابل أنه يملك جميع الحقوق اللازمة لإدخال محتوى العميل في البرمجية — بما في ذلك الوثائق التقنية والصور والأشياء الملتقَطة أثناء مسح المواقع — وأن ذلك لا ينتهك حقوق الغير.</w:t>
      </w:r>
    </w:p>
    <w:p>
      <w:r>
        <w:rPr>
          <w:rFonts w:ascii="Times New Roman" w:hAnsi="Times New Roman" w:cs="Times New Roman" w:eastAsia="Times New Roman"/>
          <w:b w:val="0"/>
          <w:i w:val="0"/>
          <w:sz w:val="22"/>
          <w:rtl/>
        </w:rPr>
        <w:t>C.3.5. لا يفحص المرخِّص محتوى العميل مسبقًا، ولا يسأل عن مضمونه أو مشروعيته أو صحته.</w:t>
      </w:r>
    </w:p>
    <w:p>
      <w:pPr>
        <w:pStyle w:val="Heading2"/>
        <w:keepNext/>
      </w:pPr>
      <w:r>
        <w:rPr>
          <w:rFonts w:ascii="Times New Roman" w:hAnsi="Times New Roman" w:cs="Times New Roman" w:eastAsia="Times New Roman"/>
          <w:b/>
          <w:i w:val="0"/>
          <w:sz w:val="23"/>
          <w:rtl/>
        </w:rPr>
        <w:t>C.4. ملكية البرمجية</w:t>
      </w:r>
    </w:p>
    <w:p>
      <w:r>
        <w:rPr>
          <w:rFonts w:ascii="Times New Roman" w:hAnsi="Times New Roman" w:cs="Times New Roman" w:eastAsia="Times New Roman"/>
          <w:b w:val="0"/>
          <w:i w:val="0"/>
          <w:sz w:val="22"/>
          <w:rtl/>
        </w:rPr>
        <w:t xml:space="preserve">C.4.1. إن حقوق الملكية الفكرية في البرمجية في الإقليم الذي تشمله هذه الشروط — بما في ذلك نظام تحديد المواقع AR Clip VPS، ووكيل الذكاء الاصطناعي والنماذج المدرَّبة، وواجهات المستخدم، والوثائق، وجميع التحديثات والتحسينات — تعود إلى </w:t>
      </w:r>
      <w:r>
        <w:rPr>
          <w:rFonts w:ascii="Times New Roman" w:hAnsi="Times New Roman" w:cs="Times New Roman" w:eastAsia="Times New Roman"/>
          <w:b/>
          <w:i w:val="0"/>
          <w:sz w:val="22"/>
          <w:rtl/>
        </w:rPr>
        <w:t>Web-AR.Studio Corp</w:t>
      </w:r>
      <w:r>
        <w:rPr>
          <w:rFonts w:ascii="Times New Roman" w:hAnsi="Times New Roman" w:cs="Times New Roman" w:eastAsia="Times New Roman"/>
          <w:b w:val="0"/>
          <w:i w:val="0"/>
          <w:sz w:val="22"/>
          <w:rtl/>
        </w:rPr>
        <w:t>. ويمنح الاشتراك حق استخدامها؛ ولا ينقل أي حق فيها.</w:t>
      </w:r>
    </w:p>
    <w:p>
      <w:r>
        <w:rPr>
          <w:rFonts w:ascii="Times New Roman" w:hAnsi="Times New Roman" w:cs="Times New Roman" w:eastAsia="Times New Roman"/>
          <w:b w:val="0"/>
          <w:i w:val="0"/>
          <w:sz w:val="22"/>
          <w:rtl/>
        </w:rPr>
        <w:t>C.4.2. تعود إلى المرخِّص جميع حقوق الملكية الفكرية التي ينشئها المرخِّص في تطوير البرمجية، بما في ذلك ما يُنشأ استجابةً لاقتراحات الطرف المقابل أو ملاحظاته. ولا يُنشئ تقديم الملاحظات أي حقوق للطرف المقابل ولا أي التزام بمقابلها.</w:t>
      </w:r>
    </w:p>
    <w:p>
      <w:r>
        <w:rPr>
          <w:rFonts w:ascii="Times New Roman" w:hAnsi="Times New Roman" w:cs="Times New Roman" w:eastAsia="Times New Roman"/>
          <w:b w:val="0"/>
          <w:i w:val="0"/>
          <w:sz w:val="22"/>
          <w:rtl/>
        </w:rPr>
        <w:t>C.4.3. المنطق المخصَّص المطوَّر للطرف المقابل (سواء أُدرِج في الخطة أم دُفع مقابله منفصلًا) يصبح جزءًا من البرمجية ويعود إلى المرخِّص؛ ويحصل الطرف المقابل على حق استخدامه وفق هذه الشروط.</w:t>
      </w:r>
    </w:p>
    <w:p>
      <w:r>
        <w:rPr>
          <w:rFonts w:ascii="Times New Roman" w:hAnsi="Times New Roman" w:cs="Times New Roman" w:eastAsia="Times New Roman"/>
          <w:b w:val="0"/>
          <w:i w:val="0"/>
          <w:sz w:val="22"/>
          <w:rtl/>
        </w:rPr>
        <w:t>C.4.4. يُخطِر الطرف المقابل المرخِّصَ فورًا بأي انتهاك للحقوق في البرمجية يعلم به.</w:t>
      </w:r>
    </w:p>
    <w:p>
      <w:pPr>
        <w:pStyle w:val="Heading2"/>
        <w:keepNext/>
      </w:pPr>
      <w:r>
        <w:rPr>
          <w:rFonts w:ascii="Times New Roman" w:hAnsi="Times New Roman" w:cs="Times New Roman" w:eastAsia="Times New Roman"/>
          <w:b/>
          <w:i w:val="0"/>
          <w:sz w:val="23"/>
          <w:rtl/>
        </w:rPr>
        <w:t>C.5. بيانات التشغيل</w:t>
      </w:r>
    </w:p>
    <w:p>
      <w:r>
        <w:rPr>
          <w:rFonts w:ascii="Times New Roman" w:hAnsi="Times New Roman" w:cs="Times New Roman" w:eastAsia="Times New Roman"/>
          <w:b w:val="0"/>
          <w:i w:val="0"/>
          <w:sz w:val="22"/>
          <w:rtl/>
        </w:rPr>
        <w:t xml:space="preserve">C.5.1. يجوز للمرخِّص جمع </w:t>
      </w:r>
      <w:r>
        <w:rPr>
          <w:rFonts w:ascii="Times New Roman" w:hAnsi="Times New Roman" w:cs="Times New Roman" w:eastAsia="Times New Roman"/>
          <w:b/>
          <w:i w:val="0"/>
          <w:sz w:val="22"/>
          <w:rtl/>
        </w:rPr>
        <w:t>المقاييس المجمَّعة</w:t>
      </w:r>
      <w:r>
        <w:rPr>
          <w:rFonts w:ascii="Times New Roman" w:hAnsi="Times New Roman" w:cs="Times New Roman" w:eastAsia="Times New Roman"/>
          <w:b w:val="0"/>
          <w:i w:val="0"/>
          <w:sz w:val="22"/>
          <w:rtl/>
        </w:rPr>
        <w:t xml:space="preserve"> واستخدامها لتشغيل البرمجية وتأمينها وتشخيصها وتحسينها. ولا تتضمّن المقاييس المجمَّعة محتوى العميل ولا تتيح تحديد هوية الطرف المقابل أو موقعه أو معدّاته أو أي شخص طبيعي.</w:t>
      </w:r>
    </w:p>
    <w:p>
      <w:r>
        <w:rPr>
          <w:rFonts w:ascii="Times New Roman" w:hAnsi="Times New Roman" w:cs="Times New Roman" w:eastAsia="Times New Roman"/>
          <w:b w:val="0"/>
          <w:i w:val="0"/>
          <w:sz w:val="22"/>
          <w:rtl/>
        </w:rPr>
        <w:t xml:space="preserve">C.5.2. </w:t>
      </w:r>
      <w:r>
        <w:rPr>
          <w:rFonts w:ascii="Times New Roman" w:hAnsi="Times New Roman" w:cs="Times New Roman" w:eastAsia="Times New Roman"/>
          <w:b/>
          <w:i w:val="0"/>
          <w:sz w:val="22"/>
          <w:rtl/>
        </w:rPr>
        <w:t>لا يكتسب المرخِّص أي حقوق أخرى في بيانات الطرف المقابل.</w:t>
      </w:r>
      <w:r>
        <w:rPr>
          <w:rFonts w:ascii="Times New Roman" w:hAnsi="Times New Roman" w:cs="Times New Roman" w:eastAsia="Times New Roman"/>
          <w:b w:val="0"/>
          <w:i w:val="0"/>
          <w:sz w:val="22"/>
          <w:rtl/>
        </w:rPr>
        <w:t xml:space="preserve"> ولا يُستخدَم محتوى العميل لتدريب نماذج تعلّم آلي تُتاح للغير دون موافقة كتابية مستقلة من الطرف المقابل.</w:t>
      </w:r>
    </w:p>
    <w:p>
      <w:r>
        <w:rPr>
          <w:rFonts w:ascii="Times New Roman" w:hAnsi="Times New Roman" w:cs="Times New Roman" w:eastAsia="Times New Roman"/>
          <w:b w:val="0"/>
          <w:i w:val="0"/>
          <w:sz w:val="22"/>
          <w:rtl/>
        </w:rPr>
        <w:t>C.5.3. في نموذج On-Premise، لا تغادر أي بيانات — بما فيها المقاييس المجمَّعة — شبكة الطرف المقابل ما لم يفعّل الطرف المقابل الإعداد المقابل. والنسخة التشغيلية On-Premise قادرة على العمل دون أي اتصال بالإنترنت.</w:t>
      </w:r>
    </w:p>
    <w:p>
      <w:pPr>
        <w:pStyle w:val="Heading2"/>
        <w:keepNext/>
      </w:pPr>
      <w:r>
        <w:rPr>
          <w:rFonts w:ascii="Times New Roman" w:hAnsi="Times New Roman" w:cs="Times New Roman" w:eastAsia="Times New Roman"/>
          <w:b/>
          <w:i w:val="0"/>
          <w:sz w:val="23"/>
          <w:rtl/>
        </w:rPr>
        <w:t>C.6. حماية البيانات</w:t>
      </w:r>
    </w:p>
    <w:p>
      <w:r>
        <w:rPr>
          <w:rFonts w:ascii="Times New Roman" w:hAnsi="Times New Roman" w:cs="Times New Roman" w:eastAsia="Times New Roman"/>
          <w:b w:val="0"/>
          <w:i w:val="0"/>
          <w:sz w:val="22"/>
          <w:rtl/>
        </w:rPr>
        <w:t xml:space="preserve">C.6.1. فيما يخص البيانات الشخصية المعالَجة في البرمجية، يكون الطرف المقابل هو </w:t>
      </w:r>
      <w:r>
        <w:rPr>
          <w:rFonts w:ascii="Times New Roman" w:hAnsi="Times New Roman" w:cs="Times New Roman" w:eastAsia="Times New Roman"/>
          <w:b/>
          <w:i w:val="0"/>
          <w:sz w:val="22"/>
          <w:rtl/>
        </w:rPr>
        <w:t>المتحكّم</w:t>
      </w:r>
      <w:r>
        <w:rPr>
          <w:rFonts w:ascii="Times New Roman" w:hAnsi="Times New Roman" w:cs="Times New Roman" w:eastAsia="Times New Roman"/>
          <w:b w:val="0"/>
          <w:i w:val="0"/>
          <w:sz w:val="22"/>
          <w:rtl/>
        </w:rPr>
        <w:t xml:space="preserve"> ويكون المرخِّص هو </w:t>
      </w:r>
      <w:r>
        <w:rPr>
          <w:rFonts w:ascii="Times New Roman" w:hAnsi="Times New Roman" w:cs="Times New Roman" w:eastAsia="Times New Roman"/>
          <w:b/>
          <w:i w:val="0"/>
          <w:sz w:val="22"/>
          <w:rtl/>
        </w:rPr>
        <w:t>المعالِج</w:t>
      </w:r>
      <w:r>
        <w:rPr>
          <w:rFonts w:ascii="Times New Roman" w:hAnsi="Times New Roman" w:cs="Times New Roman" w:eastAsia="Times New Roman"/>
          <w:b w:val="0"/>
          <w:i w:val="0"/>
          <w:sz w:val="22"/>
          <w:rtl/>
        </w:rPr>
        <w:t>. ويتحمّل الطرف المقابل الأساس القانوني للمعالجة، وإبلاغ أصحاب البيانات، والحصول على أي موافقات لازمة.</w:t>
      </w:r>
    </w:p>
    <w:p>
      <w:r>
        <w:rPr>
          <w:rFonts w:ascii="Times New Roman" w:hAnsi="Times New Roman" w:cs="Times New Roman" w:eastAsia="Times New Roman"/>
          <w:b w:val="0"/>
          <w:i w:val="0"/>
          <w:sz w:val="22"/>
          <w:rtl/>
        </w:rPr>
        <w:t xml:space="preserve">C.6.2. في نموذج السحابة المُدارة، لا يعالِج المرخِّص البيانات الشخصية إلا وفق تعليمات موثَّقة من الطرف المقابل، بشروط </w:t>
      </w:r>
      <w:r>
        <w:rPr>
          <w:rFonts w:ascii="Times New Roman" w:hAnsi="Times New Roman" w:cs="Times New Roman" w:eastAsia="Times New Roman"/>
          <w:b/>
          <w:i w:val="0"/>
          <w:sz w:val="22"/>
          <w:rtl/>
        </w:rPr>
        <w:t>ملحق معالجة البيانات الوارد في الملحق 4</w:t>
      </w:r>
      <w:r>
        <w:rPr>
          <w:rFonts w:ascii="Times New Roman" w:hAnsi="Times New Roman" w:cs="Times New Roman" w:eastAsia="Times New Roman"/>
          <w:b w:val="0"/>
          <w:i w:val="0"/>
          <w:sz w:val="22"/>
          <w:rtl/>
        </w:rPr>
        <w:t>، الذي يشكّل جزءًا من هذه الشروط ويستوفي المادة 28 من اللائحة (الاتحاد الأوروبي) 2016/679 (اللائحة العامة لحماية البيانات) والمتطلبات المكافئة في اللائحة العامة لحماية البيانات في المملكة المتحدة.</w:t>
      </w:r>
    </w:p>
    <w:p>
      <w:r>
        <w:rPr>
          <w:rFonts w:ascii="Times New Roman" w:hAnsi="Times New Roman" w:cs="Times New Roman" w:eastAsia="Times New Roman"/>
          <w:b w:val="0"/>
          <w:i w:val="0"/>
          <w:sz w:val="22"/>
          <w:rtl/>
        </w:rPr>
        <w:t>C.6.3. في نموذج On-Premise، لا تُنقل أي بيانات شخصية إلى المرخِّص، ولا ينطبق الملحق 4 إلا على وصول الدعم الممنوح بموجب البند C.3.3.</w:t>
      </w:r>
    </w:p>
    <w:p>
      <w:r>
        <w:rPr>
          <w:rFonts w:ascii="Times New Roman" w:hAnsi="Times New Roman" w:cs="Times New Roman" w:eastAsia="Times New Roman"/>
          <w:b w:val="0"/>
          <w:i w:val="0"/>
          <w:sz w:val="22"/>
          <w:rtl/>
        </w:rPr>
        <w:t>C.6.4. تُجرى عمليات النقل الدولية، حين تقع، بموجب آلية نقل معتمَدة وفق الملحق 4، بما في ذلك الشروط التعاقدية النموذجية للاتحاد الأوروبي وملحق نقل البيانات الدولي للمملكة المتحدة حيثما انطبق.</w:t>
      </w:r>
    </w:p>
    <w:p>
      <w:r>
        <w:rPr>
          <w:rFonts w:ascii="Times New Roman" w:hAnsi="Times New Roman" w:cs="Times New Roman" w:eastAsia="Times New Roman"/>
          <w:b w:val="0"/>
          <w:i w:val="0"/>
          <w:sz w:val="22"/>
          <w:rtl/>
        </w:rPr>
        <w:t>C.6.5. حيثما خضع الطرف المقابل لمتطلبات توطين البيانات، يُبيَّن إقليم الاستضافة المنطبق في استمارة الطلب وفي الملحق 4.</w:t>
      </w:r>
    </w:p>
    <w:p>
      <w:r>
        <w:rPr>
          <w:rFonts w:ascii="Times New Roman" w:hAnsi="Times New Roman" w:cs="Times New Roman" w:eastAsia="Times New Roman"/>
          <w:b w:val="0"/>
          <w:i w:val="0"/>
          <w:sz w:val="22"/>
          <w:rtl/>
        </w:rPr>
        <w:t>C.6.6. على الطرف المقابل إخطار المرخِّص كتابيًا قبل معالجة فئات خاصة من البيانات الشخصية أو بيانات حيوية في البرمجية. وعند غياب هذا الإخطار، يتصرّف المرخِّص على أساس عدم معالجة مثل هذه البيانات.</w:t>
      </w:r>
    </w:p>
    <w:p>
      <w:pPr>
        <w:pStyle w:val="Heading2"/>
        <w:keepNext/>
      </w:pPr>
      <w:r>
        <w:rPr>
          <w:rFonts w:ascii="Times New Roman" w:hAnsi="Times New Roman" w:cs="Times New Roman" w:eastAsia="Times New Roman"/>
          <w:b/>
          <w:i w:val="0"/>
          <w:sz w:val="23"/>
          <w:rtl/>
        </w:rPr>
        <w:t>C.7. السرّية</w:t>
      </w:r>
    </w:p>
    <w:p>
      <w:r>
        <w:rPr>
          <w:rFonts w:ascii="Times New Roman" w:hAnsi="Times New Roman" w:cs="Times New Roman" w:eastAsia="Times New Roman"/>
          <w:b w:val="0"/>
          <w:i w:val="0"/>
          <w:sz w:val="22"/>
          <w:rtl/>
        </w:rPr>
        <w:t xml:space="preserve">C.7.1. </w:t>
      </w:r>
      <w:r>
        <w:rPr>
          <w:rFonts w:ascii="Times New Roman" w:hAnsi="Times New Roman" w:cs="Times New Roman" w:eastAsia="Times New Roman"/>
          <w:b/>
          <w:i w:val="0"/>
          <w:sz w:val="22"/>
          <w:rtl/>
        </w:rPr>
        <w:t>المعلومات السرّية</w:t>
      </w:r>
      <w:r>
        <w:rPr>
          <w:rFonts w:ascii="Times New Roman" w:hAnsi="Times New Roman" w:cs="Times New Roman" w:eastAsia="Times New Roman"/>
          <w:b w:val="0"/>
          <w:i w:val="0"/>
          <w:sz w:val="22"/>
          <w:rtl/>
        </w:rPr>
        <w:t xml:space="preserve"> تعني المعلومات التي يفصح بها أحد الطرفين للآخر في سياق هذه الشروط، والموسومة بالسرّية أو التي تكون سرّيتها ظاهرة من طبيعتها، بما في ذلك محتوى العميل، والبنية التقنية للبرمجية، ونتائج القياس والاختبار، والشروط التجارية والخصومات المتفاوَض عليها، والمعلومات عن المواقع والعمليات الإنتاجية.</w:t>
      </w:r>
    </w:p>
    <w:p>
      <w:r>
        <w:rPr>
          <w:rFonts w:ascii="Times New Roman" w:hAnsi="Times New Roman" w:cs="Times New Roman" w:eastAsia="Times New Roman"/>
          <w:b w:val="0"/>
          <w:i w:val="0"/>
          <w:sz w:val="22"/>
          <w:rtl/>
        </w:rPr>
        <w:t>C.7.2. لا يفصح الطرف المتلقّي عن المعلومات السرّية للغير دون موافقة كتابية، ويستخدمها فقط لتنفيذ العقد، ويحميها بعناية لا تقل عن العناية التي يوليها لمعلوماته السرّية، وبعناية معقولة على أي حال.</w:t>
      </w:r>
    </w:p>
    <w:p>
      <w:r>
        <w:rPr>
          <w:rFonts w:ascii="Times New Roman" w:hAnsi="Times New Roman" w:cs="Times New Roman" w:eastAsia="Times New Roman"/>
          <w:b w:val="0"/>
          <w:i w:val="0"/>
          <w:sz w:val="22"/>
          <w:rtl/>
        </w:rPr>
        <w:t>C.7.3. يُسمَح بالإفصاح للموظفين والمستشارين والمتعاقدين المقيَّدين بالتزامات سرّية مكافئة، بحسب مبدأ الحاجة إلى المعرفة؛ وكذلك حين يقتضيه القانون أو جهة مختصة، شريطة إخطار الطرف المُفصِح مسبقًا، ما لم يكن الإخطار محظورًا قانونًا.</w:t>
      </w:r>
    </w:p>
    <w:p>
      <w:r>
        <w:rPr>
          <w:rFonts w:ascii="Times New Roman" w:hAnsi="Times New Roman" w:cs="Times New Roman" w:eastAsia="Times New Roman"/>
          <w:b w:val="0"/>
          <w:i w:val="0"/>
          <w:sz w:val="22"/>
          <w:rtl/>
        </w:rPr>
        <w:t>C.7.4. تظل التزامات السرّية قائمة خمس (5) سنوات بعد الإنهاء، وبلا أجل فيما يخص الأسرار التجارية ما دامت محتفظة بتلك الصفة.</w:t>
      </w:r>
    </w:p>
    <w:p>
      <w:r>
        <w:rPr>
          <w:rFonts w:ascii="Times New Roman" w:hAnsi="Times New Roman" w:cs="Times New Roman" w:eastAsia="Times New Roman"/>
          <w:b w:val="0"/>
          <w:i w:val="0"/>
          <w:sz w:val="22"/>
          <w:rtl/>
        </w:rPr>
        <w:t xml:space="preserve">C.7.5. يجوز للمرخِّص ذِكرُ اسم الطرف المقابل واستخدام شعاره في قوائم العملاء أو الشركاء </w:t>
      </w:r>
      <w:r>
        <w:rPr>
          <w:rFonts w:ascii="Times New Roman" w:hAnsi="Times New Roman" w:cs="Times New Roman" w:eastAsia="Times New Roman"/>
          <w:b/>
          <w:i w:val="0"/>
          <w:sz w:val="22"/>
          <w:rtl/>
        </w:rPr>
        <w:t>فقط بموافقته الكتابية المسبقة</w:t>
      </w:r>
      <w:r>
        <w:rPr>
          <w:rFonts w:ascii="Times New Roman" w:hAnsi="Times New Roman" w:cs="Times New Roman" w:eastAsia="Times New Roman"/>
          <w:b w:val="0"/>
          <w:i w:val="0"/>
          <w:sz w:val="22"/>
          <w:rtl/>
        </w:rPr>
        <w:t>، وهي موافقة قابلة للسحب.</w:t>
      </w:r>
    </w:p>
    <w:p>
      <w:pPr>
        <w:pStyle w:val="Heading2"/>
        <w:keepNext/>
      </w:pPr>
      <w:r>
        <w:rPr>
          <w:rFonts w:ascii="Times New Roman" w:hAnsi="Times New Roman" w:cs="Times New Roman" w:eastAsia="Times New Roman"/>
          <w:b/>
          <w:i w:val="0"/>
          <w:sz w:val="23"/>
          <w:rtl/>
        </w:rPr>
        <w:t>C.8. الإقرارات والقيود المُفصَح عنها</w:t>
      </w:r>
    </w:p>
    <w:p>
      <w:r>
        <w:rPr>
          <w:rFonts w:ascii="Times New Roman" w:hAnsi="Times New Roman" w:cs="Times New Roman" w:eastAsia="Times New Roman"/>
          <w:b w:val="0"/>
          <w:i w:val="0"/>
          <w:sz w:val="22"/>
          <w:rtl/>
        </w:rPr>
        <w:t>C.8.1. يقرّ المرخِّص بأنه يملك جميع الحقوق الممنوحة بموجب هذه الشروط أو مرخَّص له بمنحها، وأن منحها لا ينتهك حقوق الغير، وأن البرمجية لا تحتوي على وظائف غير مُفصَح عنها مصمَّمة لإتلاف بيانات الطرف المقابل أو حجبها أو تعديلها أو نسخها دون تصريح.</w:t>
      </w:r>
    </w:p>
    <w:p>
      <w:r>
        <w:rPr>
          <w:rFonts w:ascii="Times New Roman" w:hAnsi="Times New Roman" w:cs="Times New Roman" w:eastAsia="Times New Roman"/>
          <w:b w:val="0"/>
          <w:i w:val="0"/>
          <w:sz w:val="22"/>
          <w:rtl/>
        </w:rPr>
        <w:t>C.8.2. يقرّ الطرف المقابل بأنه مؤسَّس على النحو الواجب وقائم، وأن الشخص القابل كان مخوَّلًا بذلك، وأنه غير خاضع لإجراءات إعسار، وأن المعلومات الواردة في استمارة طلبه صحيحة.</w:t>
      </w:r>
    </w:p>
    <w:p>
      <w:r>
        <w:rPr>
          <w:rFonts w:ascii="Times New Roman" w:hAnsi="Times New Roman" w:cs="Times New Roman" w:eastAsia="Times New Roman"/>
          <w:b w:val="0"/>
          <w:i w:val="0"/>
          <w:sz w:val="22"/>
          <w:rtl/>
        </w:rPr>
        <w:t xml:space="preserve">C.8.3. </w:t>
      </w:r>
      <w:r>
        <w:rPr>
          <w:rFonts w:ascii="Times New Roman" w:hAnsi="Times New Roman" w:cs="Times New Roman" w:eastAsia="Times New Roman"/>
          <w:b/>
          <w:i w:val="0"/>
          <w:sz w:val="22"/>
          <w:rtl/>
        </w:rPr>
        <w:t>اعتمادات غير مُحازة.</w:t>
      </w:r>
      <w:r>
        <w:rPr>
          <w:rFonts w:ascii="Times New Roman" w:hAnsi="Times New Roman" w:cs="Times New Roman" w:eastAsia="Times New Roman"/>
          <w:b w:val="0"/>
          <w:i w:val="0"/>
          <w:sz w:val="22"/>
          <w:rtl/>
        </w:rPr>
        <w:t xml:space="preserve"> يذكر المرخِّص صراحةً أنه، حتى تاريخ هذه النسخة، </w:t>
      </w:r>
      <w:r>
        <w:rPr>
          <w:rFonts w:ascii="Times New Roman" w:hAnsi="Times New Roman" w:cs="Times New Roman" w:eastAsia="Times New Roman"/>
          <w:b/>
          <w:i w:val="0"/>
          <w:sz w:val="22"/>
          <w:rtl/>
        </w:rPr>
        <w:t>لا تحوز</w:t>
      </w:r>
      <w:r>
        <w:rPr>
          <w:rFonts w:ascii="Times New Roman" w:hAnsi="Times New Roman" w:cs="Times New Roman" w:eastAsia="Times New Roman"/>
          <w:b w:val="0"/>
          <w:i w:val="0"/>
          <w:sz w:val="22"/>
          <w:rtl/>
        </w:rPr>
        <w:t xml:space="preserve"> البرمجيةُ ما يلي، ولا </w:t>
      </w:r>
      <w:r>
        <w:rPr>
          <w:rFonts w:ascii="Times New Roman" w:hAnsi="Times New Roman" w:cs="Times New Roman" w:eastAsia="Times New Roman"/>
          <w:b/>
          <w:i w:val="0"/>
          <w:sz w:val="22"/>
          <w:rtl/>
        </w:rPr>
        <w:t>يدّعي</w:t>
      </w:r>
      <w:r>
        <w:rPr>
          <w:rFonts w:ascii="Times New Roman" w:hAnsi="Times New Roman" w:cs="Times New Roman" w:eastAsia="Times New Roman"/>
          <w:b w:val="0"/>
          <w:i w:val="0"/>
          <w:sz w:val="22"/>
          <w:rtl/>
        </w:rPr>
        <w:t xml:space="preserve"> المرخِّص حيازته: تقرير SOC 2 (Type I أو Type II)؛ اعتماد ISO/IEC 27001؛ حزمة تحقّق وفق 21 CFR Part 11 أو GAMP 5؛ تقرير منشور لاختبار اختراق من طرف ثالث. ويؤكّد الطرف المقابل علمه بذلك وأنه لم يعتمد على وجود أي من هذه الاعتمادات عند إبرام العقد. ويبقى التحقّق من العمليات التي تُستخدَم فيها البرمجية على عاتق الطرف المقابل؛ وتسجّل البرمجية نشاط المستخدمين والنظام وتتابع إتمام الإجراءات، بما يدعم ذلك العمل دون أن يقوم مقامه.</w:t>
      </w:r>
    </w:p>
    <w:p>
      <w:r>
        <w:rPr>
          <w:rFonts w:ascii="Times New Roman" w:hAnsi="Times New Roman" w:cs="Times New Roman" w:eastAsia="Times New Roman"/>
          <w:b w:val="0"/>
          <w:i w:val="0"/>
          <w:sz w:val="22"/>
          <w:rtl/>
        </w:rPr>
        <w:t xml:space="preserve">C.8.4. </w:t>
      </w:r>
      <w:r>
        <w:rPr>
          <w:rFonts w:ascii="Times New Roman" w:hAnsi="Times New Roman" w:cs="Times New Roman" w:eastAsia="Times New Roman"/>
          <w:b/>
          <w:i w:val="0"/>
          <w:sz w:val="22"/>
          <w:rtl/>
        </w:rPr>
        <w:t>الغرض من البرمجية.</w:t>
      </w:r>
      <w:r>
        <w:rPr>
          <w:rFonts w:ascii="Times New Roman" w:hAnsi="Times New Roman" w:cs="Times New Roman" w:eastAsia="Times New Roman"/>
          <w:b w:val="0"/>
          <w:i w:val="0"/>
          <w:sz w:val="22"/>
          <w:rtl/>
        </w:rPr>
        <w:t xml:space="preserve"> إن ARSY AI أداة إرشاد وتدريب. </w:t>
      </w:r>
      <w:r>
        <w:rPr>
          <w:rFonts w:ascii="Times New Roman" w:hAnsi="Times New Roman" w:cs="Times New Roman" w:eastAsia="Times New Roman"/>
          <w:b/>
          <w:i w:val="0"/>
          <w:sz w:val="22"/>
          <w:rtl/>
        </w:rPr>
        <w:t>وهي ليست نظام أمان مُجهَّزًا، ولا نظام تحكّم في العمليات، ولا نظام إيقاف طارئ، ولا جهازًا طبيًا، ولا يجوز الاعتماد عليها أساسًا وحيدًا لاتخاذ القرار في الحالات التي قد يفضي فيها العطل إلى وفاة أو إصابة أو ضرر بيئي أو ضرر بالممتلكات.</w:t>
      </w:r>
      <w:r>
        <w:rPr>
          <w:rFonts w:ascii="Times New Roman" w:hAnsi="Times New Roman" w:cs="Times New Roman" w:eastAsia="Times New Roman"/>
          <w:b w:val="0"/>
          <w:i w:val="0"/>
          <w:sz w:val="22"/>
          <w:rtl/>
        </w:rPr>
        <w:t xml:space="preserve"> ولا يُعفي استخدام البرمجية الطرفَ المقابل من واجباته الخاصة في مجالات السلامة والصحة المهنية والسلامة الصناعية والإشراف المؤهَّل والامتثال التنظيمي.</w:t>
      </w:r>
    </w:p>
    <w:p>
      <w:pPr>
        <w:pStyle w:val="Heading2"/>
        <w:keepNext/>
      </w:pPr>
      <w:r>
        <w:rPr>
          <w:rFonts w:ascii="Times New Roman" w:hAnsi="Times New Roman" w:cs="Times New Roman" w:eastAsia="Times New Roman"/>
          <w:b/>
          <w:i w:val="0"/>
          <w:sz w:val="23"/>
          <w:rtl/>
        </w:rPr>
        <w:t>C.9. الضمانات وإخلاء المسؤولية</w:t>
      </w:r>
    </w:p>
    <w:p>
      <w:r>
        <w:rPr>
          <w:rFonts w:ascii="Times New Roman" w:hAnsi="Times New Roman" w:cs="Times New Roman" w:eastAsia="Times New Roman"/>
          <w:b w:val="0"/>
          <w:i w:val="0"/>
          <w:sz w:val="22"/>
          <w:rtl/>
        </w:rPr>
        <w:t>C.9.1. يضمن المرخِّص أن البرمجية ستعمل بصورة جوهرية وفق الوثائق الرسمية، شريطة تقيّد الطرف المقابل بمتطلبات البنية التحتية في الملحق 5 وبتعليمات التشغيل.</w:t>
      </w:r>
    </w:p>
    <w:p>
      <w:r>
        <w:rPr>
          <w:rFonts w:ascii="Times New Roman" w:hAnsi="Times New Roman" w:cs="Times New Roman" w:eastAsia="Times New Roman"/>
          <w:b w:val="0"/>
          <w:i w:val="0"/>
          <w:sz w:val="22"/>
          <w:rtl/>
        </w:rPr>
        <w:t xml:space="preserve">C.9.2. </w:t>
      </w:r>
      <w:r>
        <w:rPr>
          <w:rFonts w:ascii="Times New Roman" w:hAnsi="Times New Roman" w:cs="Times New Roman" w:eastAsia="Times New Roman"/>
          <w:b/>
          <w:i w:val="0"/>
          <w:sz w:val="22"/>
          <w:rtl/>
        </w:rPr>
        <w:t>باستثناء ما تنص عليه هذه الشروط صراحةً، تُقدَّم البرمجية «كما هي»، ويخلي المرخِّص مسؤوليته عن جميع الضمانات الأخرى، صريحةً كانت أم ضمنيةً أم قانونيةً، بما في ذلك أي ضمانات ضمنية للرواج أو الجودة المُرضية أو الملاءمة لغرض معيَّن أو عدم التعدّي، إلى أقصى حد يجيزه القانون.</w:t>
      </w:r>
      <w:r>
        <w:rPr>
          <w:rFonts w:ascii="Times New Roman" w:hAnsi="Times New Roman" w:cs="Times New Roman" w:eastAsia="Times New Roman"/>
          <w:b w:val="0"/>
          <w:i w:val="0"/>
          <w:sz w:val="22"/>
          <w:rtl/>
        </w:rPr>
        <w:t xml:space="preserve"> ولا يضمن المرخِّص تشغيلًا دون انقطاع أو دون أخطاء، ولا أن البرمجية ستلبّي التوقعات الذاتية للطرف المقابل، ولا تحقيق أي نتيجة تجارية أو تشغيلية معيَّنة، ولا التشغيل السليم على عتاد لا يستوفي الملحق 5 أو حيث أُعيد تكوين النسخة التشغيلية دون موافقة المرخِّص.</w:t>
      </w:r>
    </w:p>
    <w:p>
      <w:r>
        <w:rPr>
          <w:rFonts w:ascii="Times New Roman" w:hAnsi="Times New Roman" w:cs="Times New Roman" w:eastAsia="Times New Roman"/>
          <w:b w:val="0"/>
          <w:i w:val="0"/>
          <w:sz w:val="22"/>
          <w:rtl/>
        </w:rPr>
        <w:t xml:space="preserve">C.9.3. </w:t>
      </w:r>
      <w:r>
        <w:rPr>
          <w:rFonts w:ascii="Times New Roman" w:hAnsi="Times New Roman" w:cs="Times New Roman" w:eastAsia="Times New Roman"/>
          <w:b/>
          <w:i w:val="0"/>
          <w:sz w:val="22"/>
          <w:rtl/>
        </w:rPr>
        <w:t>مخرجات وكيل الذكاء الاصطناعي إرشادية ويجب أن يتحقّق منها الطرف المقابل.</w:t>
      </w:r>
      <w:r>
        <w:rPr>
          <w:rFonts w:ascii="Times New Roman" w:hAnsi="Times New Roman" w:cs="Times New Roman" w:eastAsia="Times New Roman"/>
          <w:b w:val="0"/>
          <w:i w:val="0"/>
          <w:sz w:val="22"/>
          <w:rtl/>
        </w:rPr>
        <w:t xml:space="preserve"> ولا يضمن المرخِّص اكتمال أو دقة أو ملاءمة الإجابات التي تولّدها نماذج التعلّم الآلي، بما في ذلك الإجابات المشتقّة من وثائق رفعها الطرف المقابل. والقرارات المتّخذة بناءً على هذه المخرجات مسؤولية الطرف المقابل.</w:t>
      </w:r>
    </w:p>
    <w:p>
      <w:r>
        <w:rPr>
          <w:rFonts w:ascii="Times New Roman" w:hAnsi="Times New Roman" w:cs="Times New Roman" w:eastAsia="Times New Roman"/>
          <w:b w:val="0"/>
          <w:i w:val="0"/>
          <w:sz w:val="22"/>
          <w:rtl/>
        </w:rPr>
        <w:t>C.9.4. التقديرات والحاسبات، بما في ذلك أرقام العائد على الاستثمار المنشورة على arsy.ai، توضيحية، وتستند إلى بيانات متوسّطة، ولا تشكّل ضمانًا لنتيجة.</w:t>
      </w:r>
    </w:p>
    <w:p>
      <w:pPr>
        <w:pStyle w:val="Heading2"/>
        <w:keepNext/>
      </w:pPr>
      <w:r>
        <w:rPr>
          <w:rFonts w:ascii="Times New Roman" w:hAnsi="Times New Roman" w:cs="Times New Roman" w:eastAsia="Times New Roman"/>
          <w:b/>
          <w:i w:val="0"/>
          <w:sz w:val="23"/>
          <w:rtl/>
        </w:rPr>
        <w:t>C.10. المسؤولية</w:t>
      </w:r>
    </w:p>
    <w:p>
      <w:r>
        <w:rPr>
          <w:rFonts w:ascii="Times New Roman" w:hAnsi="Times New Roman" w:cs="Times New Roman" w:eastAsia="Times New Roman"/>
          <w:b w:val="0"/>
          <w:i w:val="0"/>
          <w:sz w:val="22"/>
          <w:rtl/>
        </w:rPr>
        <w:t xml:space="preserve">C.10.1. </w:t>
      </w:r>
      <w:r>
        <w:rPr>
          <w:rFonts w:ascii="Times New Roman" w:hAnsi="Times New Roman" w:cs="Times New Roman" w:eastAsia="Times New Roman"/>
          <w:b/>
          <w:i w:val="0"/>
          <w:sz w:val="22"/>
          <w:rtl/>
        </w:rPr>
        <w:t>سقف المسؤولية.</w:t>
      </w:r>
      <w:r>
        <w:rPr>
          <w:rFonts w:ascii="Times New Roman" w:hAnsi="Times New Roman" w:cs="Times New Roman" w:eastAsia="Times New Roman"/>
          <w:b w:val="0"/>
          <w:i w:val="0"/>
          <w:sz w:val="22"/>
          <w:rtl/>
        </w:rPr>
        <w:t xml:space="preserve"> تقتصر مسؤولية المرخِّص الإجمالية الكلية الناشئة عن العقد أو المتصلة به، سواء تعاقدية أم تقصيرية (بما فيها الإهمال) أم عن إخلال بواجب قانوني أم غير ذلك، عن جميع الأحداث الواقعة في أي فترة اثني عشر (12) شهرًا متتالية، على </w:t>
      </w:r>
      <w:r>
        <w:rPr>
          <w:rFonts w:ascii="Times New Roman" w:hAnsi="Times New Roman" w:cs="Times New Roman" w:eastAsia="Times New Roman"/>
          <w:b/>
          <w:i w:val="0"/>
          <w:sz w:val="22"/>
          <w:rtl/>
        </w:rPr>
        <w:t>المقابل الذي دفعه الطرف المقابل فعليًا للمرخِّص بموجب العقد في الاثني عشر (12) شهرًا السابقة للحدث المنشئ للمسؤولية.</w:t>
      </w:r>
    </w:p>
    <w:p>
      <w:r>
        <w:rPr>
          <w:rFonts w:ascii="Times New Roman" w:hAnsi="Times New Roman" w:cs="Times New Roman" w:eastAsia="Times New Roman"/>
          <w:b w:val="0"/>
          <w:i w:val="0"/>
          <w:sz w:val="22"/>
          <w:rtl/>
        </w:rPr>
        <w:t xml:space="preserve">C.10.2. </w:t>
      </w:r>
      <w:r>
        <w:rPr>
          <w:rFonts w:ascii="Times New Roman" w:hAnsi="Times New Roman" w:cs="Times New Roman" w:eastAsia="Times New Roman"/>
          <w:b/>
          <w:i w:val="0"/>
          <w:sz w:val="22"/>
          <w:rtl/>
        </w:rPr>
        <w:t>الأضرار المستبعَدة.</w:t>
      </w:r>
      <w:r>
        <w:rPr>
          <w:rFonts w:ascii="Times New Roman" w:hAnsi="Times New Roman" w:cs="Times New Roman" w:eastAsia="Times New Roman"/>
          <w:b w:val="0"/>
          <w:i w:val="0"/>
          <w:sz w:val="22"/>
          <w:rtl/>
        </w:rPr>
        <w:t xml:space="preserve"> لا يسأل المرخِّص عن الكسب الفائت أو فوات الإيرادات أو المساس بالسمعة التجارية أو الأضرار الناجمة عن توقّف الإنتاج أو فقدان البيانات أو تلفها (إلا حيث ينشأ ذلك عن إخلال المرخِّص بالتزام نسخ احتياطي تعهَّد به صراحةً في الملحق 3)، ولا عن أي ضرر غير مباشر أو تبعي، سواء أُخطِر المرخِّص بإمكان حدوثه أم لا.</w:t>
      </w:r>
    </w:p>
    <w:p>
      <w:r>
        <w:rPr>
          <w:rFonts w:ascii="Times New Roman" w:hAnsi="Times New Roman" w:cs="Times New Roman" w:eastAsia="Times New Roman"/>
          <w:b w:val="0"/>
          <w:i w:val="0"/>
          <w:sz w:val="22"/>
          <w:rtl/>
        </w:rPr>
        <w:t>C.10.3. لا يحدّ البندان C.10.1 وC.10.2 من المسؤولية عن: الوفاة أو الإصابة الشخصية الناجمة عن الإهمال؛ والاحتيال أو التضليل الاحتيالي؛ وإخلال التزامات السرّية؛ وانتهاك حقوق الملكية الفكرية للطرف الآخر؛ وسوء السلوك المتعمَّد؛ والتزام الطرف المقابل بالدفع؛ وأي مسؤولية لا يجوز الحد منها قانونًا.</w:t>
      </w:r>
    </w:p>
    <w:p>
      <w:r>
        <w:rPr>
          <w:rFonts w:ascii="Times New Roman" w:hAnsi="Times New Roman" w:cs="Times New Roman" w:eastAsia="Times New Roman"/>
          <w:b w:val="0"/>
          <w:i w:val="0"/>
          <w:sz w:val="22"/>
          <w:rtl/>
        </w:rPr>
        <w:t xml:space="preserve">C.10.4. </w:t>
      </w:r>
      <w:r>
        <w:rPr>
          <w:rFonts w:ascii="Times New Roman" w:hAnsi="Times New Roman" w:cs="Times New Roman" w:eastAsia="Times New Roman"/>
          <w:b/>
          <w:i w:val="0"/>
          <w:sz w:val="22"/>
          <w:rtl/>
        </w:rPr>
        <w:t>التعويض عن انتهاك الملكية الفكرية.</w:t>
      </w:r>
      <w:r>
        <w:rPr>
          <w:rFonts w:ascii="Times New Roman" w:hAnsi="Times New Roman" w:cs="Times New Roman" w:eastAsia="Times New Roman"/>
          <w:b w:val="0"/>
          <w:i w:val="0"/>
          <w:sz w:val="22"/>
          <w:rtl/>
        </w:rPr>
        <w:t xml:space="preserve"> يدافع المرخِّص عن الطرف المقابل ضد أي مطالبة من الغير بأن استخدام البرمجية وفق العقد ينتهك حقوق ملكيته الفكرية، ويدفع التعويضات المحكوم بها نهائيًا والتكاليف القانونية المعقولة، شريطة أن يقوم الطرف المقابل بما يلي: (أ) إخطار المرخِّص فورًا وعلى أي حال خلال عشرة (10) أيام عمل، (ب) منح المرخِّص السيطرة الحصرية على الدفاع والتسوية، (ج) تقديم مساعدة معقولة على نفقة المرخِّص. ولا ينطبق هذا التعويض على المطالبات الناشئة عن استخدام البرمجية بالمخالفة للعقد، أو تعديل البرمجية من غير المرخِّص، أو محتوى العميل، أو دمجها مع منتجات الغير غير المعتمَدة من المرخِّص. وإذا أصبحت البرمجية، أو رجّح المرخِّص أن تصبح، محلًّا لمثل هذه المطالبة، جاز للمرخِّص، بخياره، تدبيرُ حق مواصلة الاستخدام أو استبدال البرمجية أو تعديلها أو إنهاء العقد وردّ المقابل عن الجزء غير المستخدَم من فترة الاحتساب المدفوعة. </w:t>
      </w:r>
      <w:r>
        <w:rPr>
          <w:rFonts w:ascii="Times New Roman" w:hAnsi="Times New Roman" w:cs="Times New Roman" w:eastAsia="Times New Roman"/>
          <w:b/>
          <w:i w:val="0"/>
          <w:sz w:val="22"/>
          <w:rtl/>
        </w:rPr>
        <w:t>ويبيّن هذا البند كامل مسؤولية المرخِّص وسبيل انتصاف الطرف المقابل الوحيد عن انتهاك الملكية الفكرية.</w:t>
      </w:r>
    </w:p>
    <w:p>
      <w:r>
        <w:rPr>
          <w:rFonts w:ascii="Times New Roman" w:hAnsi="Times New Roman" w:cs="Times New Roman" w:eastAsia="Times New Roman"/>
          <w:b w:val="0"/>
          <w:i w:val="0"/>
          <w:sz w:val="22"/>
          <w:rtl/>
        </w:rPr>
        <w:t xml:space="preserve">C.10.5. </w:t>
      </w:r>
      <w:r>
        <w:rPr>
          <w:rFonts w:ascii="Times New Roman" w:hAnsi="Times New Roman" w:cs="Times New Roman" w:eastAsia="Times New Roman"/>
          <w:b/>
          <w:i w:val="0"/>
          <w:sz w:val="22"/>
          <w:rtl/>
        </w:rPr>
        <w:t>تعويض الطرف المقابل.</w:t>
      </w:r>
      <w:r>
        <w:rPr>
          <w:rFonts w:ascii="Times New Roman" w:hAnsi="Times New Roman" w:cs="Times New Roman" w:eastAsia="Times New Roman"/>
          <w:b w:val="0"/>
          <w:i w:val="0"/>
          <w:sz w:val="22"/>
          <w:rtl/>
        </w:rPr>
        <w:t xml:space="preserve"> يعوّض الطرف المقابل المرخِّصَ عن مطالبات الغير (بما فيهم أصحاب البيانات وأصحاب الحقوق) الناشئة عن محتوى العميل أو عن إخلال البندين C.3.4 أو C.6.1.</w:t>
      </w:r>
    </w:p>
    <w:p>
      <w:r>
        <w:rPr>
          <w:rFonts w:ascii="Times New Roman" w:hAnsi="Times New Roman" w:cs="Times New Roman" w:eastAsia="Times New Roman"/>
          <w:b w:val="0"/>
          <w:i w:val="0"/>
          <w:sz w:val="22"/>
          <w:rtl/>
        </w:rPr>
        <w:t xml:space="preserve">C.10.6. </w:t>
      </w:r>
      <w:r>
        <w:rPr>
          <w:rFonts w:ascii="Times New Roman" w:hAnsi="Times New Roman" w:cs="Times New Roman" w:eastAsia="Times New Roman"/>
          <w:b/>
          <w:i w:val="0"/>
          <w:sz w:val="22"/>
          <w:rtl/>
        </w:rPr>
        <w:t>القوة القاهرة.</w:t>
      </w:r>
      <w:r>
        <w:rPr>
          <w:rFonts w:ascii="Times New Roman" w:hAnsi="Times New Roman" w:cs="Times New Roman" w:eastAsia="Times New Roman"/>
          <w:b w:val="0"/>
          <w:i w:val="0"/>
          <w:sz w:val="22"/>
          <w:rtl/>
        </w:rPr>
        <w:t xml:space="preserve"> لا يسأل أي من الطرفين عن عدم التنفيذ (عدا التزام الدفع) الناجم عن أحداث خارجة عن سيطرته المعقولة، بما فيها الكوارث الطبيعية والحرب والاضطرابات المدنية والأوبئة وأفعال السلطة العامة التي تحظر التنفيذ، والأعطال واسعة النطاق للبنية التحتية الأساسية للإنترنت، والهجمات السيبرانية واسعة النطاق على بنية تحتية ليست تحت سيطرة ذلك الطرف. ويُخطِر الطرف المتأثّر الآخرَ خلال عشرة (10) أيام عمل. وإذا استمر الحدث أكثر من ثلاثة (3) أشهر، جاز لأي من الطرفين الإنهاء، مع التسوية عن المدة المؤدّاة فعليًا.</w:t>
      </w:r>
    </w:p>
    <w:p>
      <w:pPr>
        <w:pStyle w:val="Heading2"/>
        <w:keepNext/>
      </w:pPr>
      <w:r>
        <w:rPr>
          <w:rFonts w:ascii="Times New Roman" w:hAnsi="Times New Roman" w:cs="Times New Roman" w:eastAsia="Times New Roman"/>
          <w:b/>
          <w:i w:val="0"/>
          <w:sz w:val="23"/>
          <w:rtl/>
        </w:rPr>
        <w:t>C.11. تبعات انتهاء الاشتراك</w:t>
      </w:r>
    </w:p>
    <w:p>
      <w:r>
        <w:rPr>
          <w:rFonts w:ascii="Times New Roman" w:hAnsi="Times New Roman" w:cs="Times New Roman" w:eastAsia="Times New Roman"/>
          <w:b w:val="0"/>
          <w:i w:val="0"/>
          <w:sz w:val="22"/>
          <w:rtl/>
        </w:rPr>
        <w:t>C.11.1. لا تتوقّف ملكية محتوى العميل على اشتراك ساري المفعول، ولا تسقط في أي وقت.</w:t>
      </w:r>
    </w:p>
    <w:p>
      <w:r>
        <w:rPr>
          <w:rFonts w:ascii="Times New Roman" w:hAnsi="Times New Roman" w:cs="Times New Roman" w:eastAsia="Times New Roman"/>
          <w:b w:val="0"/>
          <w:i w:val="0"/>
          <w:sz w:val="22"/>
          <w:rtl/>
        </w:rPr>
        <w:t xml:space="preserve">C.11.2. عند انتهاء مدة الترخيص — بما في ذلك بسبب عدم الدفع — يتوقّف </w:t>
      </w:r>
      <w:r>
        <w:rPr>
          <w:rFonts w:ascii="Times New Roman" w:hAnsi="Times New Roman" w:cs="Times New Roman" w:eastAsia="Times New Roman"/>
          <w:b/>
          <w:i w:val="0"/>
          <w:sz w:val="22"/>
          <w:rtl/>
        </w:rPr>
        <w:t>الوصول</w:t>
      </w:r>
      <w:r>
        <w:rPr>
          <w:rFonts w:ascii="Times New Roman" w:hAnsi="Times New Roman" w:cs="Times New Roman" w:eastAsia="Times New Roman"/>
          <w:b w:val="0"/>
          <w:i w:val="0"/>
          <w:sz w:val="22"/>
          <w:rtl/>
        </w:rPr>
        <w:t xml:space="preserve"> إلى البرمجية وإلى الميزات التي تعمل على محتوى العميل. ولا يُحذَف محتوى العميل عند ذلك.</w:t>
      </w:r>
    </w:p>
    <w:p>
      <w:r>
        <w:rPr>
          <w:rFonts w:ascii="Times New Roman" w:hAnsi="Times New Roman" w:cs="Times New Roman" w:eastAsia="Times New Roman"/>
          <w:b w:val="0"/>
          <w:i w:val="0"/>
          <w:sz w:val="22"/>
          <w:rtl/>
        </w:rPr>
        <w:t xml:space="preserve">C.11.3. </w:t>
      </w:r>
      <w:r>
        <w:rPr>
          <w:rFonts w:ascii="Times New Roman" w:hAnsi="Times New Roman" w:cs="Times New Roman" w:eastAsia="Times New Roman"/>
          <w:b/>
          <w:i w:val="0"/>
          <w:sz w:val="22"/>
          <w:rtl/>
        </w:rPr>
        <w:t>خلال تسعين (90) يومًا بعد انتهاء مدة الترخيص</w:t>
      </w:r>
      <w:r>
        <w:rPr>
          <w:rFonts w:ascii="Times New Roman" w:hAnsi="Times New Roman" w:cs="Times New Roman" w:eastAsia="Times New Roman"/>
          <w:b w:val="0"/>
          <w:i w:val="0"/>
          <w:sz w:val="22"/>
          <w:rtl/>
        </w:rPr>
        <w:t>، يجوز للطرف المقابل الحصول على تصدير لمحتوى العميل بصيغ قياسية قابلة للقراءة الآلية. وتُبيَّن إجراءات التصدير وصيَغه في الملحق 3. ويُقدَّم التصدير عند عدم وجود مبالغ متأخرة.</w:t>
      </w:r>
    </w:p>
    <w:p>
      <w:r>
        <w:rPr>
          <w:rFonts w:ascii="Times New Roman" w:hAnsi="Times New Roman" w:cs="Times New Roman" w:eastAsia="Times New Roman"/>
          <w:b w:val="0"/>
          <w:i w:val="0"/>
          <w:sz w:val="22"/>
          <w:rtl/>
        </w:rPr>
        <w:t>C.11.4. بعد تلك المدة، يجوز للمرخِّص حذف محتوى العميل من بنيته التحتية، ويؤكّد الحذف بناءً على طلب كتابي. وتسود متطلبات الاحتفاظ القانونية حيثما انطبقت.</w:t>
      </w:r>
    </w:p>
    <w:p>
      <w:r>
        <w:rPr>
          <w:rFonts w:ascii="Times New Roman" w:hAnsi="Times New Roman" w:cs="Times New Roman" w:eastAsia="Times New Roman"/>
          <w:b w:val="0"/>
          <w:i w:val="0"/>
          <w:sz w:val="22"/>
          <w:rtl/>
        </w:rPr>
        <w:t>C.11.5. في نموذج On-Premise، يُنهي انتهاءُ مدة الترخيص مفتاحَ الترخيص. وعلى الطرف المقابل خلال ثلاثين (30) يومًا وقف كل استخدام وحذف جميع نسخ البرمجية، عدا النسخ الاحتياطية المتضمِّنة محتوى العميل والتي لا يمكن منها استعادة البرمجية إلى حالة عمل. ويبقى محتوى العميل في بنية الطرف المقابل التحتية ولا يستردّه المرخِّص.</w:t>
      </w:r>
    </w:p>
    <w:p>
      <w:r>
        <w:rPr>
          <w:rFonts w:ascii="Times New Roman" w:hAnsi="Times New Roman" w:cs="Times New Roman" w:eastAsia="Times New Roman"/>
          <w:b w:val="0"/>
          <w:i w:val="0"/>
          <w:sz w:val="22"/>
          <w:rtl/>
        </w:rPr>
        <w:t>C.11.6. يجوز أن تنص استمارة الطلب على مهلة سماح أو إجراء إعادة تفعيل.</w:t>
      </w:r>
    </w:p>
    <w:p>
      <w:pPr>
        <w:pStyle w:val="Heading2"/>
        <w:keepNext/>
      </w:pPr>
      <w:r>
        <w:rPr>
          <w:rFonts w:ascii="Times New Roman" w:hAnsi="Times New Roman" w:cs="Times New Roman" w:eastAsia="Times New Roman"/>
          <w:b/>
          <w:i w:val="0"/>
          <w:sz w:val="23"/>
          <w:rtl/>
        </w:rPr>
        <w:t>C.12. المدة والتغييرات والإنهاء</w:t>
      </w:r>
    </w:p>
    <w:p>
      <w:r>
        <w:rPr>
          <w:rFonts w:ascii="Times New Roman" w:hAnsi="Times New Roman" w:cs="Times New Roman" w:eastAsia="Times New Roman"/>
          <w:b w:val="0"/>
          <w:i w:val="0"/>
          <w:sz w:val="22"/>
          <w:rtl/>
        </w:rPr>
        <w:t>C.12.1. يسري العقد من القبول حتى انتهاء مدة الترخيص، وبعد ذلك فيما يخص أي التزامات قائمة.</w:t>
      </w:r>
    </w:p>
    <w:p>
      <w:r>
        <w:rPr>
          <w:rFonts w:ascii="Times New Roman" w:hAnsi="Times New Roman" w:cs="Times New Roman" w:eastAsia="Times New Roman"/>
          <w:b w:val="0"/>
          <w:i w:val="0"/>
          <w:sz w:val="22"/>
          <w:rtl/>
        </w:rPr>
        <w:t xml:space="preserve">C.12.2. </w:t>
      </w:r>
      <w:r>
        <w:rPr>
          <w:rFonts w:ascii="Times New Roman" w:hAnsi="Times New Roman" w:cs="Times New Roman" w:eastAsia="Times New Roman"/>
          <w:b/>
          <w:i w:val="0"/>
          <w:sz w:val="22"/>
          <w:rtl/>
        </w:rPr>
        <w:t>التجديد التلقائي.</w:t>
      </w:r>
      <w:r>
        <w:rPr>
          <w:rFonts w:ascii="Times New Roman" w:hAnsi="Times New Roman" w:cs="Times New Roman" w:eastAsia="Times New Roman"/>
          <w:b w:val="0"/>
          <w:i w:val="0"/>
          <w:sz w:val="22"/>
          <w:rtl/>
        </w:rPr>
        <w:t xml:space="preserve"> حيثما نصّت استمارة الطلب على ذلك، تتجدّد مدة الترخيص لفترات متعاقبة متساوية ما لم يُخطِر أحد الطرفين الآخرَ بعدم التجديد قبل نهاية الفترة الجارية بثلاثين (30) يومًا على الأقل. ويكون التجديد بالأسعار السارية عند التجديد، مع مراعاة البند C.1.8.</w:t>
      </w:r>
    </w:p>
    <w:p>
      <w:r>
        <w:rPr>
          <w:rFonts w:ascii="Times New Roman" w:hAnsi="Times New Roman" w:cs="Times New Roman" w:eastAsia="Times New Roman"/>
          <w:b w:val="0"/>
          <w:i w:val="0"/>
          <w:sz w:val="22"/>
          <w:rtl/>
        </w:rPr>
        <w:t xml:space="preserve">C.12.3. </w:t>
      </w:r>
      <w:r>
        <w:rPr>
          <w:rFonts w:ascii="Times New Roman" w:hAnsi="Times New Roman" w:cs="Times New Roman" w:eastAsia="Times New Roman"/>
          <w:b/>
          <w:i w:val="0"/>
          <w:sz w:val="22"/>
          <w:rtl/>
        </w:rPr>
        <w:t>الإنهاء لدواعي الملاءمة من الطرف المقابل.</w:t>
      </w:r>
      <w:r>
        <w:rPr>
          <w:rFonts w:ascii="Times New Roman" w:hAnsi="Times New Roman" w:cs="Times New Roman" w:eastAsia="Times New Roman"/>
          <w:b w:val="0"/>
          <w:i w:val="0"/>
          <w:sz w:val="22"/>
          <w:rtl/>
        </w:rPr>
        <w:t xml:space="preserve"> يجوز للطرف المقابل الإنهاء بإشعار مدته ثلاثون (30) يومًا. ولا يُردّ المقابل عن فترة الاحتساب المدفوعة، إلا وفق ما تنص عليه البنود A.6.2 وC.10.4 وC.10.6 وC.12.5.</w:t>
      </w:r>
    </w:p>
    <w:p>
      <w:r>
        <w:rPr>
          <w:rFonts w:ascii="Times New Roman" w:hAnsi="Times New Roman" w:cs="Times New Roman" w:eastAsia="Times New Roman"/>
          <w:b w:val="0"/>
          <w:i w:val="0"/>
          <w:sz w:val="22"/>
          <w:rtl/>
        </w:rPr>
        <w:t xml:space="preserve">C.12.4. </w:t>
      </w:r>
      <w:r>
        <w:rPr>
          <w:rFonts w:ascii="Times New Roman" w:hAnsi="Times New Roman" w:cs="Times New Roman" w:eastAsia="Times New Roman"/>
          <w:b/>
          <w:i w:val="0"/>
          <w:sz w:val="22"/>
          <w:rtl/>
        </w:rPr>
        <w:t>الإنهاء من المرخِّص.</w:t>
      </w:r>
      <w:r>
        <w:rPr>
          <w:rFonts w:ascii="Times New Roman" w:hAnsi="Times New Roman" w:cs="Times New Roman" w:eastAsia="Times New Roman"/>
          <w:b w:val="0"/>
          <w:i w:val="0"/>
          <w:sz w:val="22"/>
          <w:rtl/>
        </w:rPr>
        <w:t xml:space="preserve"> يجوز للمرخِّص الإنهاء فورًا بإشعار إذا: (أ) تأخّر دفع أكثر من ثلاثين (30) يومًا؛ (ب) أخلّ العميل إخلالًا جوهريًا بقيود الترخيص (A.3) ولم يعالجه خلال خمسة عشر (15) يوم عمل من الإشعار؛ أو (ج) خضع العميل لإجراءات إعسار. وعند الإنهاء بموجب (ب) أو (ج) لا يُردّ المقابل المدفوع.</w:t>
      </w:r>
    </w:p>
    <w:p>
      <w:r>
        <w:rPr>
          <w:rFonts w:ascii="Times New Roman" w:hAnsi="Times New Roman" w:cs="Times New Roman" w:eastAsia="Times New Roman"/>
          <w:b w:val="0"/>
          <w:i w:val="0"/>
          <w:sz w:val="22"/>
          <w:rtl/>
        </w:rPr>
        <w:t xml:space="preserve">C.12.5. </w:t>
      </w:r>
      <w:r>
        <w:rPr>
          <w:rFonts w:ascii="Times New Roman" w:hAnsi="Times New Roman" w:cs="Times New Roman" w:eastAsia="Times New Roman"/>
          <w:b/>
          <w:i w:val="0"/>
          <w:sz w:val="22"/>
          <w:rtl/>
        </w:rPr>
        <w:t>تغيير هذه الشروط.</w:t>
      </w:r>
      <w:r>
        <w:rPr>
          <w:rFonts w:ascii="Times New Roman" w:hAnsi="Times New Roman" w:cs="Times New Roman" w:eastAsia="Times New Roman"/>
          <w:b w:val="0"/>
          <w:i w:val="0"/>
          <w:sz w:val="22"/>
          <w:rtl/>
        </w:rPr>
        <w:t xml:space="preserve"> يجوز للمرخِّص تعديل هذه الشروط بنشر نسخة جديدة على العنوان الوارد في التمهيد. وتسري التغييرات بعد ثلاثين (30) يومًا من النشر، ما لم يُحدَّد تاريخ لاحق. وتظل فترة الاحتساب المدفوعة سلفًا محكومةً بالنسخة السارية عند بدئها، عدا التغييرات التي يقتضيها القانون. وإذا لم يقبل الطرف المقابل نسخةً جديدة، جاز له الإنهاء قبل نفاذ التغييرات واسترداد المقابل عن الجزء غير المستخدَم من فترة الاحتساب المدفوعة. ويشكّل الاستمرار في الاستخدام بعد تاريخ النفاذ قبولًا.</w:t>
      </w:r>
    </w:p>
    <w:p>
      <w:r>
        <w:rPr>
          <w:rFonts w:ascii="Times New Roman" w:hAnsi="Times New Roman" w:cs="Times New Roman" w:eastAsia="Times New Roman"/>
          <w:b w:val="0"/>
          <w:i w:val="0"/>
          <w:sz w:val="22"/>
          <w:rtl/>
        </w:rPr>
        <w:t>C.12.6. يؤرشف المرخِّص جميع نسخ هذه الشروط، ويقدّم عند الطلب النسخةَ السارية في أي تاريخ محدَّد.</w:t>
      </w:r>
    </w:p>
    <w:p>
      <w:r>
        <w:rPr>
          <w:rFonts w:ascii="Times New Roman" w:hAnsi="Times New Roman" w:cs="Times New Roman" w:eastAsia="Times New Roman"/>
          <w:b w:val="0"/>
          <w:i w:val="0"/>
          <w:sz w:val="22"/>
          <w:rtl/>
        </w:rPr>
        <w:t xml:space="preserve">C.12.7. </w:t>
      </w:r>
      <w:r>
        <w:rPr>
          <w:rFonts w:ascii="Times New Roman" w:hAnsi="Times New Roman" w:cs="Times New Roman" w:eastAsia="Times New Roman"/>
          <w:b/>
          <w:i w:val="0"/>
          <w:sz w:val="22"/>
          <w:rtl/>
        </w:rPr>
        <w:t>الاستمرار.</w:t>
      </w:r>
      <w:r>
        <w:rPr>
          <w:rFonts w:ascii="Times New Roman" w:hAnsi="Times New Roman" w:cs="Times New Roman" w:eastAsia="Times New Roman"/>
          <w:b w:val="0"/>
          <w:i w:val="0"/>
          <w:sz w:val="22"/>
          <w:rtl/>
        </w:rPr>
        <w:t xml:space="preserve"> تظل البنود C.3 وC.4 وC.5 وC.7 وC.8.3 وC.9.2 وC.10 وC.11 وC.13 وC.14 وC.15 وC.16 وC.17 قائمةً بعد الإنهاء.</w:t>
      </w:r>
    </w:p>
    <w:p>
      <w:pPr>
        <w:pStyle w:val="Heading2"/>
        <w:keepNext/>
      </w:pPr>
      <w:r>
        <w:rPr>
          <w:rFonts w:ascii="Times New Roman" w:hAnsi="Times New Roman" w:cs="Times New Roman" w:eastAsia="Times New Roman"/>
          <w:b/>
          <w:i w:val="0"/>
          <w:sz w:val="23"/>
          <w:rtl/>
        </w:rPr>
        <w:t>C.13. الحوالة</w:t>
      </w:r>
    </w:p>
    <w:p>
      <w:r>
        <w:rPr>
          <w:rFonts w:ascii="Times New Roman" w:hAnsi="Times New Roman" w:cs="Times New Roman" w:eastAsia="Times New Roman"/>
          <w:b w:val="0"/>
          <w:i w:val="0"/>
          <w:sz w:val="22"/>
          <w:rtl/>
        </w:rPr>
        <w:t>C.13.1. لا يجوز للطرف المقابل حوالة حقوقه أو التزاماته أو نقلها دون موافقة كتابية مسبقة من المرخِّص، عدا إلى خلف بالاندماج أو الاستحواذ على جُلّ أصوله، ويُخطَر المرخِّص بذلك خلال عشرة (10) أيام عمل.</w:t>
      </w:r>
    </w:p>
    <w:p>
      <w:r>
        <w:rPr>
          <w:rFonts w:ascii="Times New Roman" w:hAnsi="Times New Roman" w:cs="Times New Roman" w:eastAsia="Times New Roman"/>
          <w:b w:val="0"/>
          <w:i w:val="0"/>
          <w:sz w:val="22"/>
          <w:rtl/>
        </w:rPr>
        <w:t>C.13.2. يجوز للمرخِّص حوالة حقوقه والتزاماته إلى شركة تابعة أو خلف في النشاط، بإشعار، شريطة الحفاظ على حقوق الطرف المقابل.</w:t>
      </w:r>
    </w:p>
    <w:p>
      <w:r>
        <w:rPr>
          <w:rFonts w:ascii="Times New Roman" w:hAnsi="Times New Roman" w:cs="Times New Roman" w:eastAsia="Times New Roman"/>
          <w:b w:val="0"/>
          <w:i w:val="0"/>
          <w:sz w:val="22"/>
          <w:rtl/>
        </w:rPr>
        <w:t>C.13.3. يجوز للمرخِّص الاستعانة بمتعاقدين من الباطن لتنفيذ التزاماته، ويظل مسؤولًا عن أدائهم.</w:t>
      </w:r>
    </w:p>
    <w:p>
      <w:pPr>
        <w:pStyle w:val="Heading2"/>
        <w:keepNext/>
      </w:pPr>
      <w:r>
        <w:rPr>
          <w:rFonts w:ascii="Times New Roman" w:hAnsi="Times New Roman" w:cs="Times New Roman" w:eastAsia="Times New Roman"/>
          <w:b/>
          <w:i w:val="0"/>
          <w:sz w:val="23"/>
          <w:rtl/>
        </w:rPr>
        <w:t>C.14. الامتثال</w:t>
      </w:r>
    </w:p>
    <w:p>
      <w:r>
        <w:rPr>
          <w:rFonts w:ascii="Times New Roman" w:hAnsi="Times New Roman" w:cs="Times New Roman" w:eastAsia="Times New Roman"/>
          <w:b w:val="0"/>
          <w:i w:val="0"/>
          <w:sz w:val="22"/>
          <w:rtl/>
        </w:rPr>
        <w:t xml:space="preserve">C.14.1. </w:t>
      </w:r>
      <w:r>
        <w:rPr>
          <w:rFonts w:ascii="Times New Roman" w:hAnsi="Times New Roman" w:cs="Times New Roman" w:eastAsia="Times New Roman"/>
          <w:b/>
          <w:i w:val="0"/>
          <w:sz w:val="22"/>
          <w:rtl/>
        </w:rPr>
        <w:t>مكافحة الرشوة.</w:t>
      </w:r>
      <w:r>
        <w:rPr>
          <w:rFonts w:ascii="Times New Roman" w:hAnsi="Times New Roman" w:cs="Times New Roman" w:eastAsia="Times New Roman"/>
          <w:b w:val="0"/>
          <w:i w:val="0"/>
          <w:sz w:val="22"/>
          <w:rtl/>
        </w:rPr>
        <w:t xml:space="preserve"> يلتزم كل طرف بجميع قوانين مكافحة الرشوة والفساد المنطبقة، بما فيها قانون الرشوة البريطاني 2010 وقانون الممارسات الأجنبية الفاسدة الأمريكي، ولا يعرض ولا يقبل أي دفعة غير مشروعة تتصل بالعقد.</w:t>
      </w:r>
    </w:p>
    <w:p>
      <w:r>
        <w:rPr>
          <w:rFonts w:ascii="Times New Roman" w:hAnsi="Times New Roman" w:cs="Times New Roman" w:eastAsia="Times New Roman"/>
          <w:b w:val="0"/>
          <w:i w:val="0"/>
          <w:sz w:val="22"/>
          <w:rtl/>
        </w:rPr>
        <w:t xml:space="preserve">C.14.2. </w:t>
      </w:r>
      <w:r>
        <w:rPr>
          <w:rFonts w:ascii="Times New Roman" w:hAnsi="Times New Roman" w:cs="Times New Roman" w:eastAsia="Times New Roman"/>
          <w:b/>
          <w:i w:val="0"/>
          <w:sz w:val="22"/>
          <w:rtl/>
        </w:rPr>
        <w:t>الرقابة على الصادرات والعقوبات.</w:t>
      </w:r>
      <w:r>
        <w:rPr>
          <w:rFonts w:ascii="Times New Roman" w:hAnsi="Times New Roman" w:cs="Times New Roman" w:eastAsia="Times New Roman"/>
          <w:b w:val="0"/>
          <w:i w:val="0"/>
          <w:sz w:val="22"/>
          <w:rtl/>
        </w:rPr>
        <w:t xml:space="preserve"> يقرّ الطرف المقابل بأنه ومالكيه المستفيدين ليسوا مستهدَفين بعقوبات اقتصادية أو قيود تجارية منطبقة، ويتعهّد بعدم استخدام البرمجية أو تصديرها أو إعادة تصديرها بالمخالفة لقوانين الرقابة على الصادرات المنطبقة، وبعدم منح الوصول لأي شخص مقيَّد أو في أي إقليم خاضع لحظر. ويخوّل إخلال هذا البند المرخِّصَ الحقَّ في التعليق أو الإنهاء فورًا.</w:t>
      </w:r>
    </w:p>
    <w:p>
      <w:r>
        <w:rPr>
          <w:rFonts w:ascii="Times New Roman" w:hAnsi="Times New Roman" w:cs="Times New Roman" w:eastAsia="Times New Roman"/>
          <w:b w:val="0"/>
          <w:i w:val="0"/>
          <w:sz w:val="22"/>
          <w:rtl/>
        </w:rPr>
        <w:t>C.14.3. لا يستخدم الطرف المقابل البرمجية لأي نشاط يستلزم ترخيصًا أو تصريحًا لا يحوزه.</w:t>
      </w:r>
    </w:p>
    <w:p>
      <w:pPr>
        <w:pStyle w:val="Heading2"/>
        <w:keepNext/>
      </w:pPr>
      <w:r>
        <w:rPr>
          <w:rFonts w:ascii="Times New Roman" w:hAnsi="Times New Roman" w:cs="Times New Roman" w:eastAsia="Times New Roman"/>
          <w:b/>
          <w:i w:val="0"/>
          <w:sz w:val="23"/>
          <w:rtl/>
        </w:rPr>
        <w:t>C.15. القانون الحاكم وتسوية المنازعات</w:t>
      </w:r>
    </w:p>
    <w:p>
      <w:r>
        <w:rPr>
          <w:rFonts w:ascii="Times New Roman" w:hAnsi="Times New Roman" w:cs="Times New Roman" w:eastAsia="Times New Roman"/>
          <w:b w:val="0"/>
          <w:i w:val="0"/>
          <w:sz w:val="22"/>
          <w:rtl/>
        </w:rPr>
        <w:t xml:space="preserve">C.15.1. تخضع هذه الشروط وأي نزاع ينشأ عنها أو يتصل بها، بما في ذلك النزاعات غير التعاقدية، لقوانين </w:t>
      </w:r>
      <w:r>
        <w:rPr>
          <w:rFonts w:ascii="Times New Roman" w:hAnsi="Times New Roman" w:cs="Times New Roman" w:eastAsia="Times New Roman"/>
          <w:b/>
          <w:i w:val="0"/>
          <w:sz w:val="22"/>
          <w:rtl/>
        </w:rPr>
        <w:t>ولاية نيويورك</w:t>
      </w:r>
      <w:r>
        <w:rPr>
          <w:rFonts w:ascii="Times New Roman" w:hAnsi="Times New Roman" w:cs="Times New Roman" w:eastAsia="Times New Roman"/>
          <w:b w:val="0"/>
          <w:i w:val="0"/>
          <w:sz w:val="22"/>
          <w:rtl/>
        </w:rPr>
        <w:t>، مع استبعاد قواعد تنازع القوانين فيها واستبعاد اتفاقية الأمم المتحدة بشأن عقود البيع الدولي للبضائع.</w:t>
      </w:r>
    </w:p>
    <w:p>
      <w:r>
        <w:rPr>
          <w:rFonts w:ascii="Times New Roman" w:hAnsi="Times New Roman" w:cs="Times New Roman" w:eastAsia="Times New Roman"/>
          <w:b w:val="0"/>
          <w:i w:val="0"/>
          <w:sz w:val="22"/>
          <w:rtl/>
        </w:rPr>
        <w:t>C.15.2. يسعى الطرفان أولًا إلى تسوية أي نزاع بالتفاوض بحسن نية بين ممثّلين رفيعي المستوى، يبدأ بإشعار كتابي. فإن لم يُحلّ خلال ثلاثين (30) يومًا، انطبق البند C.15.3.</w:t>
      </w:r>
    </w:p>
    <w:p>
      <w:r>
        <w:rPr>
          <w:rFonts w:ascii="Times New Roman" w:hAnsi="Times New Roman" w:cs="Times New Roman" w:eastAsia="Times New Roman"/>
          <w:b w:val="0"/>
          <w:i w:val="0"/>
          <w:sz w:val="22"/>
          <w:rtl/>
        </w:rPr>
        <w:t>C.15.3. يُحسَم نهائيًا أي نزاع لم يُسوَّ بموجب البند C.15.2 وفق قواعد التحكيم لغرفة التجارة الدولية بواسطة محكَّم واحد (1) يُعيَّن وفقًا لتلك القواعد. ومقر التحكيم مدينة نيويورك بولاية نيويورك، الولايات المتحدة الأمريكية؛ ولغة التحكيم الإنجليزية؛ ويكون حكم التحكيم نهائيًا ومُلزِمًا للطرفين وقابلًا للتنفيذ أمام أي محكمة مختصة.</w:t>
      </w:r>
    </w:p>
    <w:p>
      <w:r>
        <w:rPr>
          <w:rFonts w:ascii="Times New Roman" w:hAnsi="Times New Roman" w:cs="Times New Roman" w:eastAsia="Times New Roman"/>
          <w:b w:val="0"/>
          <w:i w:val="0"/>
          <w:sz w:val="22"/>
          <w:rtl/>
        </w:rPr>
        <w:t>C.15.4. لا يمنع أي شيء أيًّا من الطرفين من طلب انتصاف عاجل أو تحفّظي أمام أي محكمة مختصة لحماية ملكيته الفكرية أو معلوماته السرّية.</w:t>
      </w:r>
    </w:p>
    <w:p>
      <w:r>
        <w:rPr>
          <w:rFonts w:ascii="Times New Roman" w:hAnsi="Times New Roman" w:cs="Times New Roman" w:eastAsia="Times New Roman"/>
          <w:b w:val="0"/>
          <w:i w:val="0"/>
          <w:sz w:val="22"/>
          <w:rtl/>
        </w:rPr>
        <w:t>C.15.5. حيثما كان الطرف المقابل مؤسَّسًا في ولاية قضائية يقتضي قانونها الآمر خلاف ذلك، ساد ذلك القانون الآمر في الحد الأدنى المطلوب.</w:t>
      </w:r>
    </w:p>
    <w:p>
      <w:pPr>
        <w:pStyle w:val="Heading2"/>
        <w:keepNext/>
      </w:pPr>
      <w:r>
        <w:rPr>
          <w:rFonts w:ascii="Times New Roman" w:hAnsi="Times New Roman" w:cs="Times New Roman" w:eastAsia="Times New Roman"/>
          <w:b/>
          <w:i w:val="0"/>
          <w:sz w:val="23"/>
          <w:rtl/>
        </w:rPr>
        <w:t>C.16. الإخطارات</w:t>
      </w:r>
    </w:p>
    <w:p>
      <w:r>
        <w:rPr>
          <w:rFonts w:ascii="Times New Roman" w:hAnsi="Times New Roman" w:cs="Times New Roman" w:eastAsia="Times New Roman"/>
          <w:b w:val="0"/>
          <w:i w:val="0"/>
          <w:sz w:val="22"/>
          <w:rtl/>
        </w:rPr>
        <w:t>C.16.1. يجوز توجيه الإخطارات الرسمية: (أ) إلى عناوين البريد الإلكتروني المبيَّنة في استمارة الطلب؛ (ب) عبر ARSY AI Space؛ (ج) بالبريد السريع أو المسجَّل إلى المقر المسجَّل؛ أو (د) عبر مزوّد متفَق عليه للتبادل الإلكتروني للوثائق.</w:t>
      </w:r>
    </w:p>
    <w:p>
      <w:r>
        <w:rPr>
          <w:rFonts w:ascii="Times New Roman" w:hAnsi="Times New Roman" w:cs="Times New Roman" w:eastAsia="Times New Roman"/>
          <w:b w:val="0"/>
          <w:i w:val="0"/>
          <w:sz w:val="22"/>
          <w:rtl/>
        </w:rPr>
        <w:t>C.16.2. يُعدّ الإخطار المرسَل بالبريد الإلكتروني أو عبر ARSY AI Space مستلَمًا في يوم العمل التالي. ويُعدّ الإخطار المرسَل بالبريد السريع مستلَمًا عند التسليم.</w:t>
      </w:r>
    </w:p>
    <w:p>
      <w:r>
        <w:rPr>
          <w:rFonts w:ascii="Times New Roman" w:hAnsi="Times New Roman" w:cs="Times New Roman" w:eastAsia="Times New Roman"/>
          <w:b w:val="0"/>
          <w:i w:val="0"/>
          <w:sz w:val="22"/>
          <w:rtl/>
        </w:rPr>
        <w:t>C.16.3. تُوجَّه إخطارات الإنهاء والمطالبات الرسمية بالطريقة (ج) أو (د)، مع نسخة بالبريد الإلكتروني.</w:t>
      </w:r>
    </w:p>
    <w:p>
      <w:r>
        <w:rPr>
          <w:rFonts w:ascii="Times New Roman" w:hAnsi="Times New Roman" w:cs="Times New Roman" w:eastAsia="Times New Roman"/>
          <w:b w:val="0"/>
          <w:i w:val="0"/>
          <w:sz w:val="22"/>
          <w:rtl/>
        </w:rPr>
        <w:t>C.16.4. يُخطِر كل طرف الآخرَ بتغييرات بياناته خلال خمسة (5) أيام عمل. وإلى حين ذلك الإخطار، تُعدّ الإخطارات المرسَلة إلى البيانات السابقة موجَّهةً على نحو صحيح.</w:t>
      </w:r>
    </w:p>
    <w:p>
      <w:r>
        <w:rPr>
          <w:rFonts w:ascii="Times New Roman" w:hAnsi="Times New Roman" w:cs="Times New Roman" w:eastAsia="Times New Roman"/>
          <w:b w:val="0"/>
          <w:i w:val="0"/>
          <w:sz w:val="22"/>
          <w:rtl/>
        </w:rPr>
        <w:t xml:space="preserve">C.16.5. عنوان المرخِّص للإخطارات بشأن هذه الشروط: </w:t>
      </w:r>
      <w:r>
        <w:rPr>
          <w:rFonts w:ascii="Times New Roman" w:hAnsi="Times New Roman" w:cs="Times New Roman" w:eastAsia="Times New Roman"/>
          <w:b/>
          <w:i w:val="0"/>
          <w:sz w:val="22"/>
          <w:rtl/>
        </w:rPr>
        <w:t>support@arsy.ai</w:t>
      </w:r>
      <w:r>
        <w:rPr>
          <w:rFonts w:ascii="Times New Roman" w:hAnsi="Times New Roman" w:cs="Times New Roman" w:eastAsia="Times New Roman"/>
          <w:b w:val="0"/>
          <w:i w:val="0"/>
          <w:sz w:val="22"/>
          <w:rtl/>
        </w:rPr>
        <w:t>.</w:t>
      </w:r>
    </w:p>
    <w:p>
      <w:pPr>
        <w:pStyle w:val="Heading2"/>
        <w:keepNext/>
      </w:pPr>
      <w:r>
        <w:rPr>
          <w:rFonts w:ascii="Times New Roman" w:hAnsi="Times New Roman" w:cs="Times New Roman" w:eastAsia="Times New Roman"/>
          <w:b/>
          <w:i w:val="0"/>
          <w:sz w:val="23"/>
          <w:rtl/>
        </w:rPr>
        <w:t>C.17. أحكام عامة</w:t>
      </w:r>
    </w:p>
    <w:p>
      <w:r>
        <w:rPr>
          <w:rFonts w:ascii="Times New Roman" w:hAnsi="Times New Roman" w:cs="Times New Roman" w:eastAsia="Times New Roman"/>
          <w:b w:val="0"/>
          <w:i w:val="0"/>
          <w:sz w:val="22"/>
          <w:rtl/>
        </w:rPr>
        <w:t>C.17.1. تشكّل هذه الشروط والملاحق الاتفاق الكامل بين الطرفين بشأن موضوعها، وتحل محل جميع المفاوضات والمراسلات والعروض والتفاهمات السابقة، عدا الوثائق المذكورة في البند 1.3. ولم يعتمد أي طرف على أي بيان غير وارد في هذه الشروط؛ ولا يحدّ أي شيء في هذا البند من المسؤولية عن الاحتيال.</w:t>
      </w:r>
    </w:p>
    <w:p>
      <w:r>
        <w:rPr>
          <w:rFonts w:ascii="Times New Roman" w:hAnsi="Times New Roman" w:cs="Times New Roman" w:eastAsia="Times New Roman"/>
          <w:b w:val="0"/>
          <w:i w:val="0"/>
          <w:sz w:val="22"/>
          <w:rtl/>
        </w:rPr>
        <w:t>C.17.2. إذا قُضي ببطلان أو عدم نفاذ أي حكم، ظل الباقي ساريًا، واستُبدل بالحكم الباطل ما يقترب أكثر من نتيجته الاقتصادية.</w:t>
      </w:r>
    </w:p>
    <w:p>
      <w:r>
        <w:rPr>
          <w:rFonts w:ascii="Times New Roman" w:hAnsi="Times New Roman" w:cs="Times New Roman" w:eastAsia="Times New Roman"/>
          <w:b w:val="0"/>
          <w:i w:val="0"/>
          <w:sz w:val="22"/>
          <w:rtl/>
        </w:rPr>
        <w:t>C.17.3. لا يُعدّ عدم ممارسة حق أو التأخّر في ممارسته تنازلًا عنه.</w:t>
      </w:r>
    </w:p>
    <w:p>
      <w:r>
        <w:rPr>
          <w:rFonts w:ascii="Times New Roman" w:hAnsi="Times New Roman" w:cs="Times New Roman" w:eastAsia="Times New Roman"/>
          <w:b w:val="0"/>
          <w:i w:val="0"/>
          <w:sz w:val="22"/>
          <w:rtl/>
        </w:rPr>
        <w:t>C.17.4. لا يحق لمن ليس طرفًا في العقد إنفاذ أي من أحكامه.</w:t>
      </w:r>
    </w:p>
    <w:p>
      <w:r>
        <w:rPr>
          <w:rFonts w:ascii="Times New Roman" w:hAnsi="Times New Roman" w:cs="Times New Roman" w:eastAsia="Times New Roman"/>
          <w:b w:val="0"/>
          <w:i w:val="0"/>
          <w:sz w:val="22"/>
          <w:rtl/>
        </w:rPr>
        <w:t>C.17.5. العناوين للتيسير فقط ولا تؤثّر في التفسير.</w:t>
      </w:r>
    </w:p>
    <w:p>
      <w:r>
        <w:rPr>
          <w:rFonts w:ascii="Times New Roman" w:hAnsi="Times New Roman" w:cs="Times New Roman" w:eastAsia="Times New Roman"/>
          <w:b w:val="0"/>
          <w:i w:val="0"/>
          <w:sz w:val="22"/>
          <w:rtl/>
        </w:rPr>
        <w:t xml:space="preserve">C.17.6. </w:t>
      </w:r>
      <w:r>
        <w:rPr>
          <w:rFonts w:ascii="Times New Roman" w:hAnsi="Times New Roman" w:cs="Times New Roman" w:eastAsia="Times New Roman"/>
          <w:b/>
          <w:i w:val="0"/>
          <w:sz w:val="22"/>
          <w:rtl/>
        </w:rPr>
        <w:t>اللغة.</w:t>
      </w:r>
      <w:r>
        <w:rPr>
          <w:rFonts w:ascii="Times New Roman" w:hAnsi="Times New Roman" w:cs="Times New Roman" w:eastAsia="Times New Roman"/>
          <w:b w:val="0"/>
          <w:i w:val="0"/>
          <w:sz w:val="22"/>
          <w:rtl/>
        </w:rPr>
        <w:t xml:space="preserve"> حُرِّرت هذه الشروط بالإنجليزية. وتُنشَر الترجمات إلى اللغات الأخرى للعلم فقط؛ وعند أي اختلاف، يسود النص الإنجليزي ويحكم العقد. ولا تُشكّل أي وثيقة ينشرها شخص آخر جزءًا من هذه الشروط ولا تؤثّر في تفسيرها.</w:t>
      </w:r>
    </w:p>
    <w:p>
      <w:pPr>
        <w:pStyle w:val="Heading1"/>
        <w:keepNext/>
        <w:jc w:val="center"/>
      </w:pPr>
      <w:r>
        <w:rPr>
          <w:rFonts w:ascii="Times New Roman" w:hAnsi="Times New Roman" w:cs="Times New Roman" w:eastAsia="Times New Roman"/>
          <w:b/>
          <w:i w:val="0"/>
          <w:sz w:val="26"/>
          <w:rtl/>
        </w:rPr>
        <w:t>الملحق 1. الخطط والحدود الوظيفية</w:t>
      </w:r>
    </w:p>
    <w:tbl>
      <w:tblPr>
        <w:tblStyle w:val="TableGrid"/>
        <w:tblW w:type="auto" w:w="0"/>
        <w:jc w:val="center"/>
        <w:tblLayout w:type="autofit"/>
        <w:tblLook w:firstColumn="1" w:firstRow="1" w:lastColumn="0" w:lastRow="0" w:noHBand="0" w:noVBand="1" w:val="04A0"/>
        <w:bidiVisual/>
      </w:tblPr>
      <w:tblGrid>
        <w:gridCol w:w="1871"/>
        <w:gridCol w:w="1871"/>
        <w:gridCol w:w="1871"/>
        <w:gridCol w:w="1871"/>
        <w:gridCol w:w="1871"/>
      </w:tblGrid>
      <w:tr>
        <w:trPr>
          <w:tblHeader w:val="true"/>
        </w:trPr>
        <w:tc>
          <w:tcPr>
            <w:tcW w:type="dxa" w:w="1871"/>
            <w:shd w:val="clear" w:fill="EDEDED"/>
          </w:tcPr>
          <w:p>
            <w:pPr>
              <w:bidi/>
              <w:spacing w:after="20" w:before="20" w:line="240" w:lineRule="auto"/>
              <w:ind w:firstLine="0"/>
              <w:jc w:val="center"/>
            </w:pPr>
            <w:r/>
            <w:r>
              <w:rPr>
                <w:rFonts w:ascii="Times New Roman" w:hAnsi="Times New Roman" w:cs="Times New Roman" w:eastAsia="Times New Roman"/>
                <w:b/>
                <w:i w:val="0"/>
                <w:sz w:val="15"/>
                <w:rtl/>
              </w:rPr>
              <w:t>المعيار</w:t>
            </w:r>
          </w:p>
        </w:tc>
        <w:tc>
          <w:tcPr>
            <w:tcW w:type="dxa" w:w="1871"/>
            <w:shd w:val="clear" w:fill="EDEDED"/>
          </w:tcPr>
          <w:p>
            <w:pPr>
              <w:bidi/>
              <w:spacing w:after="20" w:before="20" w:line="240" w:lineRule="auto"/>
              <w:ind w:firstLine="0"/>
              <w:jc w:val="center"/>
            </w:pPr>
            <w:r/>
            <w:r>
              <w:rPr>
                <w:rFonts w:ascii="Times New Roman" w:hAnsi="Times New Roman" w:cs="Times New Roman" w:eastAsia="Times New Roman"/>
                <w:b/>
                <w:i w:val="0"/>
                <w:sz w:val="15"/>
                <w:rtl/>
              </w:rPr>
              <w:t>Lite</w:t>
            </w:r>
          </w:p>
        </w:tc>
        <w:tc>
          <w:tcPr>
            <w:tcW w:type="dxa" w:w="1871"/>
            <w:shd w:val="clear" w:fill="EDEDED"/>
          </w:tcPr>
          <w:p>
            <w:pPr>
              <w:bidi/>
              <w:spacing w:after="20" w:before="20" w:line="240" w:lineRule="auto"/>
              <w:ind w:firstLine="0"/>
              <w:jc w:val="center"/>
            </w:pPr>
            <w:r/>
            <w:r>
              <w:rPr>
                <w:rFonts w:ascii="Times New Roman" w:hAnsi="Times New Roman" w:cs="Times New Roman" w:eastAsia="Times New Roman"/>
                <w:b/>
                <w:i w:val="0"/>
                <w:sz w:val="15"/>
                <w:rtl/>
              </w:rPr>
              <w:t>Starter</w:t>
            </w:r>
          </w:p>
        </w:tc>
        <w:tc>
          <w:tcPr>
            <w:tcW w:type="dxa" w:w="1871"/>
            <w:shd w:val="clear" w:fill="EDEDED"/>
          </w:tcPr>
          <w:p>
            <w:pPr>
              <w:bidi/>
              <w:spacing w:after="20" w:before="20" w:line="240" w:lineRule="auto"/>
              <w:ind w:firstLine="0"/>
              <w:jc w:val="center"/>
            </w:pPr>
            <w:r/>
            <w:r>
              <w:rPr>
                <w:rFonts w:ascii="Times New Roman" w:hAnsi="Times New Roman" w:cs="Times New Roman" w:eastAsia="Times New Roman"/>
                <w:b/>
                <w:i w:val="0"/>
                <w:sz w:val="15"/>
                <w:rtl/>
              </w:rPr>
              <w:t>Professional</w:t>
            </w:r>
          </w:p>
        </w:tc>
        <w:tc>
          <w:tcPr>
            <w:tcW w:type="dxa" w:w="1871"/>
            <w:shd w:val="clear" w:fill="EDEDED"/>
          </w:tcPr>
          <w:p>
            <w:pPr>
              <w:bidi/>
              <w:spacing w:after="20" w:before="20" w:line="240" w:lineRule="auto"/>
              <w:ind w:firstLine="0"/>
              <w:jc w:val="center"/>
            </w:pPr>
            <w:r/>
            <w:r>
              <w:rPr>
                <w:rFonts w:ascii="Times New Roman" w:hAnsi="Times New Roman" w:cs="Times New Roman" w:eastAsia="Times New Roman"/>
                <w:b/>
                <w:i w:val="0"/>
                <w:sz w:val="15"/>
                <w:rtl/>
              </w:rPr>
              <w:t>Enterprise</w:t>
            </w:r>
          </w:p>
        </w:tc>
      </w:tr>
      <w:tr>
        <w:tc>
          <w:tcPr>
            <w:tcW w:type="dxa" w:w="1871"/>
          </w:tcPr>
          <w:p>
            <w:pPr>
              <w:bidi/>
              <w:spacing w:after="20" w:before="20" w:line="240" w:lineRule="auto"/>
              <w:ind w:firstLine="0"/>
              <w:jc w:val="right"/>
            </w:pPr>
            <w:r/>
            <w:r>
              <w:rPr>
                <w:rFonts w:ascii="Times New Roman" w:hAnsi="Times New Roman" w:cs="Times New Roman" w:eastAsia="Times New Roman"/>
                <w:b w:val="0"/>
                <w:i w:val="0"/>
                <w:sz w:val="15"/>
                <w:rtl/>
              </w:rPr>
              <w:t>المواقع</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1</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1</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1</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غير محدود</w:t>
            </w:r>
          </w:p>
        </w:tc>
      </w:tr>
      <w:tr>
        <w:tc>
          <w:tcPr>
            <w:tcW w:type="dxa" w:w="1871"/>
          </w:tcPr>
          <w:p>
            <w:pPr>
              <w:bidi/>
              <w:spacing w:after="20" w:before="20" w:line="240" w:lineRule="auto"/>
              <w:ind w:firstLine="0"/>
              <w:jc w:val="right"/>
            </w:pPr>
            <w:r/>
            <w:r>
              <w:rPr>
                <w:rFonts w:ascii="Times New Roman" w:hAnsi="Times New Roman" w:cs="Times New Roman" w:eastAsia="Times New Roman"/>
                <w:b w:val="0"/>
                <w:i w:val="0"/>
                <w:sz w:val="15"/>
                <w:rtl/>
              </w:rPr>
              <w:t>أجهزة الواقع المعزَّز</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حتى 3</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حتى 10</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حتى 30</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غير محدود</w:t>
            </w:r>
          </w:p>
        </w:tc>
      </w:tr>
      <w:tr>
        <w:tc>
          <w:tcPr>
            <w:tcW w:type="dxa" w:w="1871"/>
          </w:tcPr>
          <w:p>
            <w:pPr>
              <w:bidi/>
              <w:spacing w:after="20" w:before="20" w:line="240" w:lineRule="auto"/>
              <w:ind w:firstLine="0"/>
              <w:jc w:val="right"/>
            </w:pPr>
            <w:r/>
            <w:r>
              <w:rPr>
                <w:rFonts w:ascii="Times New Roman" w:hAnsi="Times New Roman" w:cs="Times New Roman" w:eastAsia="Times New Roman"/>
                <w:b w:val="0"/>
                <w:i w:val="0"/>
                <w:sz w:val="15"/>
                <w:rtl/>
              </w:rPr>
              <w:t>المستخدمون</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غير محدود</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غير محدود</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غير محدود</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غير محدود</w:t>
            </w:r>
          </w:p>
        </w:tc>
      </w:tr>
      <w:tr>
        <w:tc>
          <w:tcPr>
            <w:tcW w:type="dxa" w:w="1871"/>
          </w:tcPr>
          <w:p>
            <w:pPr>
              <w:bidi/>
              <w:spacing w:after="20" w:before="20" w:line="240" w:lineRule="auto"/>
              <w:ind w:firstLine="0"/>
              <w:jc w:val="right"/>
            </w:pPr>
            <w:r/>
            <w:r>
              <w:rPr>
                <w:rFonts w:ascii="Times New Roman" w:hAnsi="Times New Roman" w:cs="Times New Roman" w:eastAsia="Times New Roman"/>
                <w:b w:val="0"/>
                <w:i w:val="0"/>
                <w:sz w:val="15"/>
                <w:rtl/>
              </w:rPr>
              <w:t>جلسات الفيديو المتزامنة</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5</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15</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30</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غير محدود</w:t>
            </w:r>
          </w:p>
        </w:tc>
      </w:tr>
      <w:tr>
        <w:tc>
          <w:tcPr>
            <w:tcW w:type="dxa" w:w="1871"/>
          </w:tcPr>
          <w:p>
            <w:pPr>
              <w:bidi/>
              <w:spacing w:after="20" w:before="20" w:line="240" w:lineRule="auto"/>
              <w:ind w:firstLine="0"/>
              <w:jc w:val="right"/>
            </w:pPr>
            <w:r/>
            <w:r>
              <w:rPr>
                <w:rFonts w:ascii="Times New Roman" w:hAnsi="Times New Roman" w:cs="Times New Roman" w:eastAsia="Times New Roman"/>
                <w:b w:val="0"/>
                <w:i w:val="0"/>
                <w:sz w:val="15"/>
                <w:rtl/>
              </w:rPr>
              <w:t>تسجيل الجلسات</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لا</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30 يومًا</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لا</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دائم</w:t>
            </w:r>
          </w:p>
        </w:tc>
      </w:tr>
      <w:tr>
        <w:tc>
          <w:tcPr>
            <w:tcW w:type="dxa" w:w="1871"/>
          </w:tcPr>
          <w:p>
            <w:pPr>
              <w:bidi/>
              <w:spacing w:after="20" w:before="20" w:line="240" w:lineRule="auto"/>
              <w:ind w:firstLine="0"/>
              <w:jc w:val="right"/>
            </w:pPr>
            <w:r/>
            <w:r>
              <w:rPr>
                <w:rFonts w:ascii="Times New Roman" w:hAnsi="Times New Roman" w:cs="Times New Roman" w:eastAsia="Times New Roman"/>
                <w:b w:val="0"/>
                <w:i w:val="0"/>
                <w:sz w:val="15"/>
                <w:rtl/>
              </w:rPr>
              <w:t>الدورات التدريبية</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حتى 5</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غير محدود</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غير محدود</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غير محدود</w:t>
            </w:r>
          </w:p>
        </w:tc>
      </w:tr>
      <w:tr>
        <w:tc>
          <w:tcPr>
            <w:tcW w:type="dxa" w:w="1871"/>
          </w:tcPr>
          <w:p>
            <w:pPr>
              <w:bidi/>
              <w:spacing w:after="20" w:before="20" w:line="240" w:lineRule="auto"/>
              <w:ind w:firstLine="0"/>
              <w:jc w:val="right"/>
            </w:pPr>
            <w:r/>
            <w:r>
              <w:rPr>
                <w:rFonts w:ascii="Times New Roman" w:hAnsi="Times New Roman" w:cs="Times New Roman" w:eastAsia="Times New Roman"/>
                <w:b w:val="0"/>
                <w:i w:val="0"/>
                <w:sz w:val="15"/>
                <w:rtl/>
              </w:rPr>
              <w:t>الاختبارات والاعتماد</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لا</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نعم</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نعم</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نعم</w:t>
            </w:r>
          </w:p>
        </w:tc>
      </w:tr>
      <w:tr>
        <w:tc>
          <w:tcPr>
            <w:tcW w:type="dxa" w:w="1871"/>
          </w:tcPr>
          <w:p>
            <w:pPr>
              <w:bidi/>
              <w:spacing w:after="20" w:before="20" w:line="240" w:lineRule="auto"/>
              <w:ind w:firstLine="0"/>
              <w:jc w:val="right"/>
            </w:pPr>
            <w:r/>
            <w:r>
              <w:rPr>
                <w:rFonts w:ascii="Times New Roman" w:hAnsi="Times New Roman" w:cs="Times New Roman" w:eastAsia="Times New Roman"/>
                <w:b w:val="0"/>
                <w:i w:val="0"/>
                <w:sz w:val="15"/>
                <w:rtl/>
              </w:rPr>
              <w:t>اللوحة والتحليلات</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أساسي</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كامل</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كامل</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كامل + مخصَّص</w:t>
            </w:r>
          </w:p>
        </w:tc>
      </w:tr>
      <w:tr>
        <w:tc>
          <w:tcPr>
            <w:tcW w:type="dxa" w:w="1871"/>
          </w:tcPr>
          <w:p>
            <w:pPr>
              <w:bidi/>
              <w:spacing w:after="20" w:before="20" w:line="240" w:lineRule="auto"/>
              <w:ind w:firstLine="0"/>
              <w:jc w:val="right"/>
            </w:pPr>
            <w:r/>
            <w:r>
              <w:rPr>
                <w:rFonts w:ascii="Times New Roman" w:hAnsi="Times New Roman" w:cs="Times New Roman" w:eastAsia="Times New Roman"/>
                <w:b w:val="0"/>
                <w:i w:val="0"/>
                <w:sz w:val="15"/>
                <w:rtl/>
              </w:rPr>
              <w:t>تصدير التقارير (CSV/Excel)</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لا</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نعم</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نعم</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نعم</w:t>
            </w:r>
          </w:p>
        </w:tc>
      </w:tr>
      <w:tr>
        <w:tc>
          <w:tcPr>
            <w:tcW w:type="dxa" w:w="1871"/>
          </w:tcPr>
          <w:p>
            <w:pPr>
              <w:bidi/>
              <w:spacing w:after="20" w:before="20" w:line="240" w:lineRule="auto"/>
              <w:ind w:firstLine="0"/>
              <w:jc w:val="right"/>
            </w:pPr>
            <w:r/>
            <w:r>
              <w:rPr>
                <w:rFonts w:ascii="Times New Roman" w:hAnsi="Times New Roman" w:cs="Times New Roman" w:eastAsia="Times New Roman"/>
                <w:b w:val="0"/>
                <w:i w:val="0"/>
                <w:sz w:val="15"/>
                <w:rtl/>
              </w:rPr>
              <w:t>تحليلات الاستبقاء والأفواج</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لا</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لا</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نعم</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نعم</w:t>
            </w:r>
          </w:p>
        </w:tc>
      </w:tr>
      <w:tr>
        <w:tc>
          <w:tcPr>
            <w:tcW w:type="dxa" w:w="1871"/>
          </w:tcPr>
          <w:p>
            <w:pPr>
              <w:bidi/>
              <w:spacing w:after="20" w:before="20" w:line="240" w:lineRule="auto"/>
              <w:ind w:firstLine="0"/>
              <w:jc w:val="right"/>
            </w:pPr>
            <w:r/>
            <w:r>
              <w:rPr>
                <w:rFonts w:ascii="Times New Roman" w:hAnsi="Times New Roman" w:cs="Times New Roman" w:eastAsia="Times New Roman"/>
                <w:b w:val="0"/>
                <w:i w:val="0"/>
                <w:sz w:val="15"/>
                <w:rtl/>
              </w:rPr>
              <w:t>وكيل الذكاء الاصطناعي (نص)</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نعم</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نعم</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نعم</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نعم</w:t>
            </w:r>
          </w:p>
        </w:tc>
      </w:tr>
      <w:tr>
        <w:tc>
          <w:tcPr>
            <w:tcW w:type="dxa" w:w="1871"/>
          </w:tcPr>
          <w:p>
            <w:pPr>
              <w:bidi/>
              <w:spacing w:after="20" w:before="20" w:line="240" w:lineRule="auto"/>
              <w:ind w:firstLine="0"/>
              <w:jc w:val="right"/>
            </w:pPr>
            <w:r/>
            <w:r>
              <w:rPr>
                <w:rFonts w:ascii="Times New Roman" w:hAnsi="Times New Roman" w:cs="Times New Roman" w:eastAsia="Times New Roman"/>
                <w:b w:val="0"/>
                <w:i w:val="0"/>
                <w:sz w:val="15"/>
                <w:rtl/>
              </w:rPr>
              <w:t>وكيل الذكاء الاصطناعي (صوت)</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لا</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نعم</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نعم</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نعم</w:t>
            </w:r>
          </w:p>
        </w:tc>
      </w:tr>
      <w:tr>
        <w:tc>
          <w:tcPr>
            <w:tcW w:type="dxa" w:w="1871"/>
          </w:tcPr>
          <w:p>
            <w:pPr>
              <w:bidi/>
              <w:spacing w:after="20" w:before="20" w:line="240" w:lineRule="auto"/>
              <w:ind w:firstLine="0"/>
              <w:jc w:val="right"/>
            </w:pPr>
            <w:r/>
            <w:r>
              <w:rPr>
                <w:rFonts w:ascii="Times New Roman" w:hAnsi="Times New Roman" w:cs="Times New Roman" w:eastAsia="Times New Roman"/>
                <w:b w:val="0"/>
                <w:i w:val="0"/>
                <w:sz w:val="15"/>
                <w:rtl/>
              </w:rPr>
              <w:t>البحث في قاعدة المعرفة</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لا</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نعم</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نعم</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نعم</w:t>
            </w:r>
          </w:p>
        </w:tc>
      </w:tr>
      <w:tr>
        <w:tc>
          <w:tcPr>
            <w:tcW w:type="dxa" w:w="1871"/>
          </w:tcPr>
          <w:p>
            <w:pPr>
              <w:bidi/>
              <w:spacing w:after="20" w:before="20" w:line="240" w:lineRule="auto"/>
              <w:ind w:firstLine="0"/>
              <w:jc w:val="right"/>
            </w:pPr>
            <w:r/>
            <w:r>
              <w:rPr>
                <w:rFonts w:ascii="Times New Roman" w:hAnsi="Times New Roman" w:cs="Times New Roman" w:eastAsia="Times New Roman"/>
                <w:b w:val="0"/>
                <w:i w:val="0"/>
                <w:sz w:val="15"/>
                <w:rtl/>
              </w:rPr>
              <w:t>إدارة قاعدة المعرفة</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لا</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لا</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نعم</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نعم</w:t>
            </w:r>
          </w:p>
        </w:tc>
      </w:tr>
      <w:tr>
        <w:tc>
          <w:tcPr>
            <w:tcW w:type="dxa" w:w="1871"/>
          </w:tcPr>
          <w:p>
            <w:pPr>
              <w:bidi/>
              <w:spacing w:after="20" w:before="20" w:line="240" w:lineRule="auto"/>
              <w:ind w:firstLine="0"/>
              <w:jc w:val="right"/>
            </w:pPr>
            <w:r/>
            <w:r>
              <w:rPr>
                <w:rFonts w:ascii="Times New Roman" w:hAnsi="Times New Roman" w:cs="Times New Roman" w:eastAsia="Times New Roman"/>
                <w:b w:val="0"/>
                <w:i w:val="0"/>
                <w:sz w:val="15"/>
                <w:rtl/>
              </w:rPr>
              <w:t>إدارة المستخدمين</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لا</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أساسي</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نعم</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نعم</w:t>
            </w:r>
          </w:p>
        </w:tc>
      </w:tr>
      <w:tr>
        <w:tc>
          <w:tcPr>
            <w:tcW w:type="dxa" w:w="1871"/>
          </w:tcPr>
          <w:p>
            <w:pPr>
              <w:bidi/>
              <w:spacing w:after="20" w:before="20" w:line="240" w:lineRule="auto"/>
              <w:ind w:firstLine="0"/>
              <w:jc w:val="right"/>
            </w:pPr>
            <w:r/>
            <w:r>
              <w:rPr>
                <w:rFonts w:ascii="Times New Roman" w:hAnsi="Times New Roman" w:cs="Times New Roman" w:eastAsia="Times New Roman"/>
                <w:b w:val="0"/>
                <w:i w:val="0"/>
                <w:sz w:val="15"/>
                <w:rtl/>
              </w:rPr>
              <w:t>التحكم في الوصول بالأدوار (RBAC)</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لا</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لا</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نعم</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نعم</w:t>
            </w:r>
          </w:p>
        </w:tc>
      </w:tr>
      <w:tr>
        <w:tc>
          <w:tcPr>
            <w:tcW w:type="dxa" w:w="1871"/>
          </w:tcPr>
          <w:p>
            <w:pPr>
              <w:bidi/>
              <w:spacing w:after="20" w:before="20" w:line="240" w:lineRule="auto"/>
              <w:ind w:firstLine="0"/>
              <w:jc w:val="right"/>
            </w:pPr>
            <w:r/>
            <w:r>
              <w:rPr>
                <w:rFonts w:ascii="Times New Roman" w:hAnsi="Times New Roman" w:cs="Times New Roman" w:eastAsia="Times New Roman"/>
                <w:b w:val="0"/>
                <w:i w:val="0"/>
                <w:sz w:val="15"/>
                <w:rtl/>
              </w:rPr>
              <w:t>لوحة الإدارة والصلاحيات الدقيقة</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لا</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لا</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لا</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نعم</w:t>
            </w:r>
          </w:p>
        </w:tc>
      </w:tr>
      <w:tr>
        <w:tc>
          <w:tcPr>
            <w:tcW w:type="dxa" w:w="1871"/>
          </w:tcPr>
          <w:p>
            <w:pPr>
              <w:bidi/>
              <w:spacing w:after="20" w:before="20" w:line="240" w:lineRule="auto"/>
              <w:ind w:firstLine="0"/>
              <w:jc w:val="right"/>
            </w:pPr>
            <w:r/>
            <w:r>
              <w:rPr>
                <w:rFonts w:ascii="Times New Roman" w:hAnsi="Times New Roman" w:cs="Times New Roman" w:eastAsia="Times New Roman"/>
                <w:b w:val="0"/>
                <w:i w:val="0"/>
                <w:sz w:val="15"/>
                <w:rtl/>
              </w:rPr>
              <w:t>واجهة برمجة مخصَّصة</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لا</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لا</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لا</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نعم</w:t>
            </w:r>
          </w:p>
        </w:tc>
      </w:tr>
      <w:tr>
        <w:tc>
          <w:tcPr>
            <w:tcW w:type="dxa" w:w="1871"/>
          </w:tcPr>
          <w:p>
            <w:pPr>
              <w:bidi/>
              <w:spacing w:after="20" w:before="20" w:line="240" w:lineRule="auto"/>
              <w:ind w:firstLine="0"/>
              <w:jc w:val="right"/>
            </w:pPr>
            <w:r/>
            <w:r>
              <w:rPr>
                <w:rFonts w:ascii="Times New Roman" w:hAnsi="Times New Roman" w:cs="Times New Roman" w:eastAsia="Times New Roman"/>
                <w:b w:val="0"/>
                <w:i w:val="0"/>
                <w:sz w:val="15"/>
                <w:rtl/>
              </w:rPr>
              <w:t>نموذج النشر</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سحابة</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سحابة</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سحابة / On-Premise</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سحابة / On-Premise</w:t>
            </w:r>
          </w:p>
        </w:tc>
      </w:tr>
      <w:tr>
        <w:tc>
          <w:tcPr>
            <w:tcW w:type="dxa" w:w="1871"/>
          </w:tcPr>
          <w:p>
            <w:pPr>
              <w:bidi/>
              <w:spacing w:after="20" w:before="20" w:line="240" w:lineRule="auto"/>
              <w:ind w:firstLine="0"/>
              <w:jc w:val="right"/>
            </w:pPr>
            <w:r/>
            <w:r>
              <w:rPr>
                <w:rFonts w:ascii="Times New Roman" w:hAnsi="Times New Roman" w:cs="Times New Roman" w:eastAsia="Times New Roman"/>
                <w:b w:val="0"/>
                <w:i w:val="0"/>
                <w:sz w:val="15"/>
                <w:rtl/>
              </w:rPr>
              <w:t>التكاملات</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لا</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لا</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ERP</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ERP، مستشعرات، إدارة وثائق</w:t>
            </w:r>
          </w:p>
        </w:tc>
      </w:tr>
      <w:tr>
        <w:tc>
          <w:tcPr>
            <w:tcW w:type="dxa" w:w="1871"/>
          </w:tcPr>
          <w:p>
            <w:pPr>
              <w:bidi/>
              <w:spacing w:after="20" w:before="20" w:line="240" w:lineRule="auto"/>
              <w:ind w:firstLine="0"/>
              <w:jc w:val="right"/>
            </w:pPr>
            <w:r/>
            <w:r>
              <w:rPr>
                <w:rFonts w:ascii="Times New Roman" w:hAnsi="Times New Roman" w:cs="Times New Roman" w:eastAsia="Times New Roman"/>
                <w:b w:val="0"/>
                <w:i w:val="0"/>
                <w:sz w:val="15"/>
                <w:rtl/>
              </w:rPr>
              <w:t>المنطق المخصَّص</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لا</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لا</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حتى 40 ساعة/سنة</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مُدرَج، حسب الاتفاق</w:t>
            </w:r>
          </w:p>
        </w:tc>
      </w:tr>
      <w:tr>
        <w:tc>
          <w:tcPr>
            <w:tcW w:type="dxa" w:w="1871"/>
          </w:tcPr>
          <w:p>
            <w:pPr>
              <w:bidi/>
              <w:spacing w:after="20" w:before="20" w:line="240" w:lineRule="auto"/>
              <w:ind w:firstLine="0"/>
              <w:jc w:val="right"/>
            </w:pPr>
            <w:r/>
            <w:r>
              <w:rPr>
                <w:rFonts w:ascii="Times New Roman" w:hAnsi="Times New Roman" w:cs="Times New Roman" w:eastAsia="Times New Roman"/>
                <w:b w:val="0"/>
                <w:i w:val="0"/>
                <w:sz w:val="15"/>
                <w:rtl/>
              </w:rPr>
              <w:t>الدعم</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بريد</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بريد</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8×5</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24×7 + مدير مخصَّص</w:t>
            </w:r>
          </w:p>
        </w:tc>
      </w:tr>
      <w:tr>
        <w:tc>
          <w:tcPr>
            <w:tcW w:type="dxa" w:w="1871"/>
          </w:tcPr>
          <w:p>
            <w:pPr>
              <w:bidi/>
              <w:spacing w:after="20" w:before="20" w:line="240" w:lineRule="auto"/>
              <w:ind w:firstLine="0"/>
              <w:jc w:val="right"/>
            </w:pPr>
            <w:r/>
            <w:r>
              <w:rPr>
                <w:rFonts w:ascii="Times New Roman" w:hAnsi="Times New Roman" w:cs="Times New Roman" w:eastAsia="Times New Roman"/>
                <w:b w:val="0"/>
                <w:i w:val="0"/>
                <w:sz w:val="15"/>
                <w:rtl/>
              </w:rPr>
              <w:t>اتفاقية مستوى التوافر</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لا يوجد</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لا يوجد</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99٪</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99.5٪</w:t>
            </w:r>
          </w:p>
        </w:tc>
      </w:tr>
    </w:tbl>
    <w:p>
      <w:pPr>
        <w:spacing w:after="80"/>
      </w:pPr>
    </w:p>
    <w:p>
      <w:r>
        <w:rPr>
          <w:rFonts w:ascii="Times New Roman" w:hAnsi="Times New Roman" w:cs="Times New Roman" w:eastAsia="Times New Roman"/>
          <w:b/>
          <w:i w:val="0"/>
          <w:sz w:val="22"/>
          <w:rtl/>
        </w:rPr>
        <w:t>ملاحظات.</w:t>
      </w:r>
    </w:p>
    <w:p>
      <w:pPr>
        <w:spacing w:after="40"/>
        <w:ind w:right="709" w:hanging="425"/>
      </w:pPr>
      <w:r>
        <w:rPr>
          <w:rFonts w:ascii="Times New Roman" w:hAnsi="Times New Roman" w:cs="Times New Roman" w:eastAsia="Times New Roman"/>
          <w:b w:val="0"/>
          <w:i w:val="0"/>
          <w:sz w:val="22"/>
          <w:rtl/>
        </w:rPr>
        <w:t>1. النشر On-Premise غير متاح في خطتي Lite وStarter.</w:t>
      </w:r>
    </w:p>
    <w:p>
      <w:pPr>
        <w:spacing w:after="40"/>
        <w:ind w:right="709" w:hanging="425"/>
      </w:pPr>
      <w:r>
        <w:rPr>
          <w:rFonts w:ascii="Times New Roman" w:hAnsi="Times New Roman" w:cs="Times New Roman" w:eastAsia="Times New Roman"/>
          <w:b w:val="0"/>
          <w:i w:val="0"/>
          <w:sz w:val="22"/>
          <w:rtl/>
        </w:rPr>
        <w:t>2. تسجيل الجلسات غير مُدرَج قياسيًا في خطة Professional؛ ويُفعَّل عند الحاجة كخيار متفَق عليه منفصلًا.</w:t>
      </w:r>
    </w:p>
    <w:p>
      <w:pPr>
        <w:spacing w:after="40"/>
        <w:ind w:right="709" w:hanging="425"/>
      </w:pPr>
      <w:r>
        <w:rPr>
          <w:rFonts w:ascii="Times New Roman" w:hAnsi="Times New Roman" w:cs="Times New Roman" w:eastAsia="Times New Roman"/>
          <w:b w:val="0"/>
          <w:i w:val="0"/>
          <w:sz w:val="22"/>
          <w:rtl/>
        </w:rPr>
        <w:t>3. ساعات المنطق المخصَّص في خطة Professional لا تُرحَّل إلى الفترة التالية، ما لم تنص استمارة الطلب على خلاف ذلك.</w:t>
      </w:r>
    </w:p>
    <w:p>
      <w:pPr>
        <w:pStyle w:val="Heading1"/>
        <w:keepNext/>
        <w:jc w:val="center"/>
      </w:pPr>
      <w:r>
        <w:rPr>
          <w:rFonts w:ascii="Times New Roman" w:hAnsi="Times New Roman" w:cs="Times New Roman" w:eastAsia="Times New Roman"/>
          <w:b/>
          <w:i w:val="0"/>
          <w:sz w:val="26"/>
          <w:rtl/>
        </w:rPr>
        <w:t>الملحق 2. الأسعار</w:t>
      </w:r>
    </w:p>
    <w:p>
      <w:pPr>
        <w:pStyle w:val="Heading2"/>
        <w:keepNext/>
      </w:pPr>
      <w:r>
        <w:rPr>
          <w:rFonts w:ascii="Times New Roman" w:hAnsi="Times New Roman" w:cs="Times New Roman" w:eastAsia="Times New Roman"/>
          <w:b/>
          <w:i w:val="0"/>
          <w:sz w:val="23"/>
          <w:rtl/>
        </w:rPr>
        <w:t>2.1. الأسعار الأساسية (حتى تاريخ هذه النسخة)</w:t>
      </w:r>
    </w:p>
    <w:p>
      <w:r>
        <w:rPr>
          <w:rFonts w:ascii="Times New Roman" w:hAnsi="Times New Roman" w:cs="Times New Roman" w:eastAsia="Times New Roman"/>
          <w:b w:val="0"/>
          <w:i w:val="0"/>
          <w:sz w:val="22"/>
          <w:rtl/>
        </w:rPr>
        <w:t>جميع الأسعار لكل شهر تقويمي ولا تشمل الضرائب (البند C.1.7). وقائمة الأسعار السارية منشورة على https://arsy.ai/pricing.</w:t>
      </w:r>
    </w:p>
    <w:p>
      <w:r>
        <w:rPr>
          <w:rFonts w:ascii="Times New Roman" w:hAnsi="Times New Roman" w:cs="Times New Roman" w:eastAsia="Times New Roman"/>
          <w:b/>
          <w:i w:val="0"/>
          <w:sz w:val="22"/>
          <w:rtl/>
        </w:rPr>
        <w:t>الرسم الأساسي لكل موقع، شهريًا:</w:t>
      </w:r>
    </w:p>
    <w:tbl>
      <w:tblPr>
        <w:tblStyle w:val="TableGrid"/>
        <w:tblW w:type="auto" w:w="0"/>
        <w:jc w:val="center"/>
        <w:tblLayout w:type="autofit"/>
        <w:tblLook w:firstColumn="1" w:firstRow="1" w:lastColumn="0" w:lastRow="0" w:noHBand="0" w:noVBand="1" w:val="04A0"/>
        <w:bidiVisual/>
      </w:tblPr>
      <w:tblGrid>
        <w:gridCol w:w="1871"/>
        <w:gridCol w:w="1871"/>
        <w:gridCol w:w="1871"/>
        <w:gridCol w:w="1871"/>
        <w:gridCol w:w="1871"/>
      </w:tblGrid>
      <w:tr>
        <w:trPr>
          <w:tblHeader w:val="true"/>
        </w:trPr>
        <w:tc>
          <w:tcPr>
            <w:tcW w:type="dxa" w:w="1871"/>
            <w:shd w:val="clear" w:fill="EDEDED"/>
          </w:tcPr>
          <w:p>
            <w:pPr>
              <w:bidi/>
              <w:spacing w:after="20" w:before="20" w:line="240" w:lineRule="auto"/>
              <w:ind w:firstLine="0"/>
              <w:jc w:val="center"/>
            </w:pPr>
            <w:r/>
            <w:r>
              <w:rPr>
                <w:rFonts w:ascii="Times New Roman" w:hAnsi="Times New Roman" w:cs="Times New Roman" w:eastAsia="Times New Roman"/>
                <w:b/>
                <w:i w:val="0"/>
                <w:sz w:val="15"/>
                <w:rtl/>
              </w:rPr>
              <w:t>الخطة</w:t>
            </w:r>
          </w:p>
        </w:tc>
        <w:tc>
          <w:tcPr>
            <w:tcW w:type="dxa" w:w="1871"/>
            <w:shd w:val="clear" w:fill="EDEDED"/>
          </w:tcPr>
          <w:p>
            <w:pPr>
              <w:bidi/>
              <w:spacing w:after="20" w:before="20" w:line="240" w:lineRule="auto"/>
              <w:ind w:firstLine="0"/>
              <w:jc w:val="center"/>
            </w:pPr>
            <w:r/>
            <w:r>
              <w:rPr>
                <w:rFonts w:ascii="Times New Roman" w:hAnsi="Times New Roman" w:cs="Times New Roman" w:eastAsia="Times New Roman"/>
                <w:b/>
                <w:i w:val="0"/>
                <w:sz w:val="15"/>
                <w:rtl/>
              </w:rPr>
              <w:t>Lite</w:t>
            </w:r>
          </w:p>
        </w:tc>
        <w:tc>
          <w:tcPr>
            <w:tcW w:type="dxa" w:w="1871"/>
            <w:shd w:val="clear" w:fill="EDEDED"/>
          </w:tcPr>
          <w:p>
            <w:pPr>
              <w:bidi/>
              <w:spacing w:after="20" w:before="20" w:line="240" w:lineRule="auto"/>
              <w:ind w:firstLine="0"/>
              <w:jc w:val="center"/>
            </w:pPr>
            <w:r/>
            <w:r>
              <w:rPr>
                <w:rFonts w:ascii="Times New Roman" w:hAnsi="Times New Roman" w:cs="Times New Roman" w:eastAsia="Times New Roman"/>
                <w:b/>
                <w:i w:val="0"/>
                <w:sz w:val="15"/>
                <w:rtl/>
              </w:rPr>
              <w:t>Starter</w:t>
            </w:r>
          </w:p>
        </w:tc>
        <w:tc>
          <w:tcPr>
            <w:tcW w:type="dxa" w:w="1871"/>
            <w:shd w:val="clear" w:fill="EDEDED"/>
          </w:tcPr>
          <w:p>
            <w:pPr>
              <w:bidi/>
              <w:spacing w:after="20" w:before="20" w:line="240" w:lineRule="auto"/>
              <w:ind w:firstLine="0"/>
              <w:jc w:val="center"/>
            </w:pPr>
            <w:r/>
            <w:r>
              <w:rPr>
                <w:rFonts w:ascii="Times New Roman" w:hAnsi="Times New Roman" w:cs="Times New Roman" w:eastAsia="Times New Roman"/>
                <w:b/>
                <w:i w:val="0"/>
                <w:sz w:val="15"/>
                <w:rtl/>
              </w:rPr>
              <w:t>Professional</w:t>
            </w:r>
          </w:p>
        </w:tc>
        <w:tc>
          <w:tcPr>
            <w:tcW w:type="dxa" w:w="1871"/>
            <w:shd w:val="clear" w:fill="EDEDED"/>
          </w:tcPr>
          <w:p>
            <w:pPr>
              <w:bidi/>
              <w:spacing w:after="20" w:before="20" w:line="240" w:lineRule="auto"/>
              <w:ind w:firstLine="0"/>
              <w:jc w:val="center"/>
            </w:pPr>
            <w:r/>
            <w:r>
              <w:rPr>
                <w:rFonts w:ascii="Times New Roman" w:hAnsi="Times New Roman" w:cs="Times New Roman" w:eastAsia="Times New Roman"/>
                <w:b/>
                <w:i w:val="0"/>
                <w:sz w:val="15"/>
                <w:rtl/>
              </w:rPr>
              <w:t>Enterprise</w:t>
            </w:r>
          </w:p>
        </w:tc>
      </w:tr>
      <w:tr>
        <w:tc>
          <w:tcPr>
            <w:tcW w:type="dxa" w:w="1871"/>
          </w:tcPr>
          <w:p>
            <w:pPr>
              <w:bidi/>
              <w:spacing w:after="20" w:before="20" w:line="240" w:lineRule="auto"/>
              <w:ind w:firstLine="0"/>
              <w:jc w:val="right"/>
            </w:pPr>
            <w:r/>
            <w:r>
              <w:rPr>
                <w:rFonts w:ascii="Times New Roman" w:hAnsi="Times New Roman" w:cs="Times New Roman" w:eastAsia="Times New Roman"/>
                <w:b w:val="0"/>
                <w:i w:val="0"/>
                <w:sz w:val="15"/>
                <w:rtl/>
              </w:rPr>
              <w:t>USD</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190</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320</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610</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1,200</w:t>
            </w:r>
          </w:p>
        </w:tc>
      </w:tr>
      <w:tr>
        <w:tc>
          <w:tcPr>
            <w:tcW w:type="dxa" w:w="1871"/>
          </w:tcPr>
          <w:p>
            <w:pPr>
              <w:bidi/>
              <w:spacing w:after="20" w:before="20" w:line="240" w:lineRule="auto"/>
              <w:ind w:firstLine="0"/>
              <w:jc w:val="right"/>
            </w:pPr>
            <w:r/>
            <w:r>
              <w:rPr>
                <w:rFonts w:ascii="Times New Roman" w:hAnsi="Times New Roman" w:cs="Times New Roman" w:eastAsia="Times New Roman"/>
                <w:b w:val="0"/>
                <w:i w:val="0"/>
                <w:sz w:val="15"/>
                <w:rtl/>
              </w:rPr>
              <w:t>RUB</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17,000</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29,000</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55,000</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110,000</w:t>
            </w:r>
          </w:p>
        </w:tc>
      </w:tr>
    </w:tbl>
    <w:p>
      <w:pPr>
        <w:spacing w:after="80"/>
      </w:pPr>
    </w:p>
    <w:p>
      <w:r>
        <w:rPr>
          <w:rFonts w:ascii="Times New Roman" w:hAnsi="Times New Roman" w:cs="Times New Roman" w:eastAsia="Times New Roman"/>
          <w:b/>
          <w:i w:val="0"/>
          <w:sz w:val="22"/>
          <w:rtl/>
        </w:rPr>
        <w:t>لكل آلة مشمولة، شهريًا:</w:t>
      </w:r>
    </w:p>
    <w:tbl>
      <w:tblPr>
        <w:tblStyle w:val="TableGrid"/>
        <w:tblW w:type="auto" w:w="0"/>
        <w:jc w:val="center"/>
        <w:tblLayout w:type="autofit"/>
        <w:tblLook w:firstColumn="1" w:firstRow="1" w:lastColumn="0" w:lastRow="0" w:noHBand="0" w:noVBand="1" w:val="04A0"/>
        <w:bidiVisual/>
      </w:tblPr>
      <w:tblGrid>
        <w:gridCol w:w="1871"/>
        <w:gridCol w:w="1871"/>
        <w:gridCol w:w="1871"/>
        <w:gridCol w:w="1871"/>
        <w:gridCol w:w="1871"/>
      </w:tblGrid>
      <w:tr>
        <w:trPr>
          <w:tblHeader w:val="true"/>
        </w:trPr>
        <w:tc>
          <w:tcPr>
            <w:tcW w:type="dxa" w:w="1871"/>
            <w:shd w:val="clear" w:fill="EDEDED"/>
          </w:tcPr>
          <w:p>
            <w:pPr>
              <w:bidi/>
              <w:spacing w:after="20" w:before="20" w:line="240" w:lineRule="auto"/>
              <w:ind w:firstLine="0"/>
              <w:jc w:val="center"/>
            </w:pPr>
            <w:r/>
            <w:r>
              <w:rPr>
                <w:rFonts w:ascii="Times New Roman" w:hAnsi="Times New Roman" w:cs="Times New Roman" w:eastAsia="Times New Roman"/>
                <w:b/>
                <w:i w:val="0"/>
                <w:sz w:val="15"/>
                <w:rtl/>
              </w:rPr>
              <w:t>الخطة</w:t>
            </w:r>
          </w:p>
        </w:tc>
        <w:tc>
          <w:tcPr>
            <w:tcW w:type="dxa" w:w="1871"/>
            <w:shd w:val="clear" w:fill="EDEDED"/>
          </w:tcPr>
          <w:p>
            <w:pPr>
              <w:bidi/>
              <w:spacing w:after="20" w:before="20" w:line="240" w:lineRule="auto"/>
              <w:ind w:firstLine="0"/>
              <w:jc w:val="center"/>
            </w:pPr>
            <w:r/>
            <w:r>
              <w:rPr>
                <w:rFonts w:ascii="Times New Roman" w:hAnsi="Times New Roman" w:cs="Times New Roman" w:eastAsia="Times New Roman"/>
                <w:b/>
                <w:i w:val="0"/>
                <w:sz w:val="15"/>
                <w:rtl/>
              </w:rPr>
              <w:t>Lite</w:t>
            </w:r>
          </w:p>
        </w:tc>
        <w:tc>
          <w:tcPr>
            <w:tcW w:type="dxa" w:w="1871"/>
            <w:shd w:val="clear" w:fill="EDEDED"/>
          </w:tcPr>
          <w:p>
            <w:pPr>
              <w:bidi/>
              <w:spacing w:after="20" w:before="20" w:line="240" w:lineRule="auto"/>
              <w:ind w:firstLine="0"/>
              <w:jc w:val="center"/>
            </w:pPr>
            <w:r/>
            <w:r>
              <w:rPr>
                <w:rFonts w:ascii="Times New Roman" w:hAnsi="Times New Roman" w:cs="Times New Roman" w:eastAsia="Times New Roman"/>
                <w:b/>
                <w:i w:val="0"/>
                <w:sz w:val="15"/>
                <w:rtl/>
              </w:rPr>
              <w:t>Starter</w:t>
            </w:r>
          </w:p>
        </w:tc>
        <w:tc>
          <w:tcPr>
            <w:tcW w:type="dxa" w:w="1871"/>
            <w:shd w:val="clear" w:fill="EDEDED"/>
          </w:tcPr>
          <w:p>
            <w:pPr>
              <w:bidi/>
              <w:spacing w:after="20" w:before="20" w:line="240" w:lineRule="auto"/>
              <w:ind w:firstLine="0"/>
              <w:jc w:val="center"/>
            </w:pPr>
            <w:r/>
            <w:r>
              <w:rPr>
                <w:rFonts w:ascii="Times New Roman" w:hAnsi="Times New Roman" w:cs="Times New Roman" w:eastAsia="Times New Roman"/>
                <w:b/>
                <w:i w:val="0"/>
                <w:sz w:val="15"/>
                <w:rtl/>
              </w:rPr>
              <w:t>Professional</w:t>
            </w:r>
          </w:p>
        </w:tc>
        <w:tc>
          <w:tcPr>
            <w:tcW w:type="dxa" w:w="1871"/>
            <w:shd w:val="clear" w:fill="EDEDED"/>
          </w:tcPr>
          <w:p>
            <w:pPr>
              <w:bidi/>
              <w:spacing w:after="20" w:before="20" w:line="240" w:lineRule="auto"/>
              <w:ind w:firstLine="0"/>
              <w:jc w:val="center"/>
            </w:pPr>
            <w:r/>
            <w:r>
              <w:rPr>
                <w:rFonts w:ascii="Times New Roman" w:hAnsi="Times New Roman" w:cs="Times New Roman" w:eastAsia="Times New Roman"/>
                <w:b/>
                <w:i w:val="0"/>
                <w:sz w:val="15"/>
                <w:rtl/>
              </w:rPr>
              <w:t>Enterprise</w:t>
            </w:r>
          </w:p>
        </w:tc>
      </w:tr>
      <w:tr>
        <w:tc>
          <w:tcPr>
            <w:tcW w:type="dxa" w:w="1871"/>
          </w:tcPr>
          <w:p>
            <w:pPr>
              <w:bidi/>
              <w:spacing w:after="20" w:before="20" w:line="240" w:lineRule="auto"/>
              <w:ind w:firstLine="0"/>
              <w:jc w:val="right"/>
            </w:pPr>
            <w:r/>
            <w:r>
              <w:rPr>
                <w:rFonts w:ascii="Times New Roman" w:hAnsi="Times New Roman" w:cs="Times New Roman" w:eastAsia="Times New Roman"/>
                <w:b w:val="0"/>
                <w:i w:val="0"/>
                <w:sz w:val="15"/>
                <w:rtl/>
              </w:rPr>
              <w:t>USD</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62</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87</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107</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127</w:t>
            </w:r>
          </w:p>
        </w:tc>
      </w:tr>
      <w:tr>
        <w:tc>
          <w:tcPr>
            <w:tcW w:type="dxa" w:w="1871"/>
          </w:tcPr>
          <w:p>
            <w:pPr>
              <w:bidi/>
              <w:spacing w:after="20" w:before="20" w:line="240" w:lineRule="auto"/>
              <w:ind w:firstLine="0"/>
              <w:jc w:val="right"/>
            </w:pPr>
            <w:r/>
            <w:r>
              <w:rPr>
                <w:rFonts w:ascii="Times New Roman" w:hAnsi="Times New Roman" w:cs="Times New Roman" w:eastAsia="Times New Roman"/>
                <w:b w:val="0"/>
                <w:i w:val="0"/>
                <w:sz w:val="15"/>
                <w:rtl/>
              </w:rPr>
              <w:t>RUB</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5,600</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8,000</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9,600</w:t>
            </w:r>
          </w:p>
        </w:tc>
        <w:tc>
          <w:tcPr>
            <w:tcW w:type="dxa" w:w="1871"/>
          </w:tcPr>
          <w:p>
            <w:pPr>
              <w:bidi/>
              <w:spacing w:after="20" w:before="20" w:line="240" w:lineRule="auto"/>
              <w:ind w:firstLine="0"/>
              <w:jc w:val="center"/>
            </w:pPr>
            <w:r/>
            <w:r>
              <w:rPr>
                <w:rFonts w:ascii="Times New Roman" w:hAnsi="Times New Roman" w:cs="Times New Roman" w:eastAsia="Times New Roman"/>
                <w:b w:val="0"/>
                <w:i w:val="0"/>
                <w:sz w:val="15"/>
                <w:rtl/>
              </w:rPr>
              <w:t>11,200</w:t>
            </w:r>
          </w:p>
        </w:tc>
      </w:tr>
    </w:tbl>
    <w:p>
      <w:pPr>
        <w:spacing w:after="80"/>
      </w:pPr>
    </w:p>
    <w:p>
      <w:r>
        <w:rPr>
          <w:rFonts w:ascii="Times New Roman" w:hAnsi="Times New Roman" w:cs="Times New Roman" w:eastAsia="Times New Roman"/>
          <w:b/>
          <w:i w:val="0"/>
          <w:sz w:val="22"/>
          <w:rtl/>
        </w:rPr>
        <w:t>خصم الدفع السنوي:</w:t>
      </w:r>
      <w:r>
        <w:rPr>
          <w:rFonts w:ascii="Times New Roman" w:hAnsi="Times New Roman" w:cs="Times New Roman" w:eastAsia="Times New Roman"/>
          <w:b w:val="0"/>
          <w:i w:val="0"/>
          <w:sz w:val="22"/>
          <w:rtl/>
        </w:rPr>
        <w:t xml:space="preserve"> 20٪ (الإجمالي السنوي = السعر الشهري × 12 × 0.8).</w:t>
      </w:r>
    </w:p>
    <w:p>
      <w:pPr>
        <w:pStyle w:val="Heading2"/>
        <w:keepNext/>
      </w:pPr>
      <w:r>
        <w:rPr>
          <w:rFonts w:ascii="Times New Roman" w:hAnsi="Times New Roman" w:cs="Times New Roman" w:eastAsia="Times New Roman"/>
          <w:b/>
          <w:i w:val="0"/>
          <w:sz w:val="23"/>
          <w:rtl/>
        </w:rPr>
        <w:t>2.2. رسوم On-Premise</w:t>
      </w:r>
    </w:p>
    <w:p>
      <w:r>
        <w:rPr>
          <w:rFonts w:ascii="Times New Roman" w:hAnsi="Times New Roman" w:cs="Times New Roman" w:eastAsia="Times New Roman"/>
          <w:b w:val="0"/>
          <w:i w:val="0"/>
          <w:sz w:val="22"/>
          <w:rtl/>
        </w:rPr>
        <w:t>تنطبق على خطتي Professional وEnterprise.</w:t>
      </w:r>
    </w:p>
    <w:tbl>
      <w:tblPr>
        <w:tblStyle w:val="TableGrid"/>
        <w:tblW w:type="auto" w:w="0"/>
        <w:jc w:val="center"/>
        <w:tblLayout w:type="autofit"/>
        <w:tblLook w:firstColumn="1" w:firstRow="1" w:lastColumn="0" w:lastRow="0" w:noHBand="0" w:noVBand="1" w:val="04A0"/>
        <w:bidiVisual/>
      </w:tblPr>
      <w:tblGrid>
        <w:gridCol w:w="4677"/>
        <w:gridCol w:w="4677"/>
      </w:tblGrid>
      <w:tr>
        <w:trPr>
          <w:tblHeader w:val="true"/>
        </w:trPr>
        <w:tc>
          <w:tcPr>
            <w:tcW w:type="dxa" w:w="4677"/>
            <w:shd w:val="clear" w:fill="EDEDED"/>
          </w:tcPr>
          <w:p>
            <w:pPr>
              <w:bidi/>
              <w:spacing w:after="20" w:before="20" w:line="240" w:lineRule="auto"/>
              <w:ind w:firstLine="0"/>
              <w:jc w:val="center"/>
            </w:pPr>
            <w:r/>
            <w:r>
              <w:rPr>
                <w:rFonts w:ascii="Times New Roman" w:hAnsi="Times New Roman" w:cs="Times New Roman" w:eastAsia="Times New Roman"/>
                <w:b/>
                <w:i w:val="0"/>
                <w:sz w:val="18"/>
                <w:rtl/>
              </w:rPr>
              <w:t>البند</w:t>
            </w:r>
          </w:p>
        </w:tc>
        <w:tc>
          <w:tcPr>
            <w:tcW w:type="dxa" w:w="4677"/>
            <w:shd w:val="clear" w:fill="EDEDED"/>
          </w:tcPr>
          <w:p>
            <w:pPr>
              <w:bidi/>
              <w:spacing w:after="20" w:before="20" w:line="240" w:lineRule="auto"/>
              <w:ind w:firstLine="0"/>
              <w:jc w:val="center"/>
            </w:pPr>
            <w:r/>
            <w:r>
              <w:rPr>
                <w:rFonts w:ascii="Times New Roman" w:hAnsi="Times New Roman" w:cs="Times New Roman" w:eastAsia="Times New Roman"/>
                <w:b/>
                <w:i w:val="0"/>
                <w:sz w:val="18"/>
                <w:rtl/>
              </w:rPr>
              <w:t>الرسم</w:t>
            </w:r>
          </w:p>
        </w:tc>
      </w:tr>
      <w:tr>
        <w:tc>
          <w:tcPr>
            <w:tcW w:type="dxa" w:w="4677"/>
          </w:tcPr>
          <w:p>
            <w:pPr>
              <w:bidi/>
              <w:spacing w:after="20" w:before="20" w:line="240" w:lineRule="auto"/>
              <w:ind w:firstLine="0"/>
              <w:jc w:val="right"/>
            </w:pPr>
            <w:r/>
            <w:r>
              <w:rPr>
                <w:rFonts w:ascii="Times New Roman" w:hAnsi="Times New Roman" w:cs="Times New Roman" w:eastAsia="Times New Roman"/>
                <w:b w:val="0"/>
                <w:i w:val="0"/>
                <w:sz w:val="18"/>
                <w:rtl/>
              </w:rPr>
              <w:t>النشر على خادم محلي (لمرة واحدة)</w:t>
            </w:r>
          </w:p>
        </w:tc>
        <w:tc>
          <w:tcPr>
            <w:tcW w:type="dxa" w:w="4677"/>
          </w:tcPr>
          <w:p>
            <w:pPr>
              <w:bidi/>
              <w:spacing w:after="20" w:before="20" w:line="240" w:lineRule="auto"/>
              <w:ind w:firstLine="0"/>
              <w:jc w:val="center"/>
            </w:pPr>
            <w:r/>
            <w:r>
              <w:rPr>
                <w:rFonts w:ascii="Times New Roman" w:hAnsi="Times New Roman" w:cs="Times New Roman" w:eastAsia="Times New Roman"/>
                <w:b w:val="0"/>
                <w:i w:val="0"/>
                <w:sz w:val="18"/>
                <w:rtl/>
              </w:rPr>
              <w:t>USD 2,200</w:t>
            </w:r>
          </w:p>
        </w:tc>
      </w:tr>
      <w:tr>
        <w:tc>
          <w:tcPr>
            <w:tcW w:type="dxa" w:w="4677"/>
          </w:tcPr>
          <w:p>
            <w:pPr>
              <w:bidi/>
              <w:spacing w:after="20" w:before="20" w:line="240" w:lineRule="auto"/>
              <w:ind w:firstLine="0"/>
              <w:jc w:val="right"/>
            </w:pPr>
            <w:r/>
            <w:r>
              <w:rPr>
                <w:rFonts w:ascii="Times New Roman" w:hAnsi="Times New Roman" w:cs="Times New Roman" w:eastAsia="Times New Roman"/>
                <w:b w:val="0"/>
                <w:i w:val="0"/>
                <w:sz w:val="18"/>
                <w:rtl/>
              </w:rPr>
              <w:t>ترخيص الخادم المحلي</w:t>
            </w:r>
          </w:p>
        </w:tc>
        <w:tc>
          <w:tcPr>
            <w:tcW w:type="dxa" w:w="4677"/>
          </w:tcPr>
          <w:p>
            <w:pPr>
              <w:bidi/>
              <w:spacing w:after="20" w:before="20" w:line="240" w:lineRule="auto"/>
              <w:ind w:firstLine="0"/>
              <w:jc w:val="center"/>
            </w:pPr>
            <w:r/>
            <w:r>
              <w:rPr>
                <w:rFonts w:ascii="Times New Roman" w:hAnsi="Times New Roman" w:cs="Times New Roman" w:eastAsia="Times New Roman"/>
                <w:b w:val="0"/>
                <w:i w:val="0"/>
                <w:sz w:val="18"/>
                <w:rtl/>
              </w:rPr>
              <w:t>USD 170 شهريًا</w:t>
            </w:r>
          </w:p>
        </w:tc>
      </w:tr>
      <w:tr>
        <w:tc>
          <w:tcPr>
            <w:tcW w:type="dxa" w:w="4677"/>
          </w:tcPr>
          <w:p>
            <w:pPr>
              <w:bidi/>
              <w:spacing w:after="20" w:before="20" w:line="240" w:lineRule="auto"/>
              <w:ind w:firstLine="0"/>
              <w:jc w:val="right"/>
            </w:pPr>
            <w:r/>
            <w:r>
              <w:rPr>
                <w:rFonts w:ascii="Times New Roman" w:hAnsi="Times New Roman" w:cs="Times New Roman" w:eastAsia="Times New Roman"/>
                <w:b w:val="0"/>
                <w:i w:val="0"/>
                <w:sz w:val="18"/>
                <w:rtl/>
              </w:rPr>
              <w:t>تكامل ERP (لمرة واحدة)</w:t>
            </w:r>
          </w:p>
        </w:tc>
        <w:tc>
          <w:tcPr>
            <w:tcW w:type="dxa" w:w="4677"/>
          </w:tcPr>
          <w:p>
            <w:pPr>
              <w:bidi/>
              <w:spacing w:after="20" w:before="20" w:line="240" w:lineRule="auto"/>
              <w:ind w:firstLine="0"/>
              <w:jc w:val="center"/>
            </w:pPr>
            <w:r/>
            <w:r>
              <w:rPr>
                <w:rFonts w:ascii="Times New Roman" w:hAnsi="Times New Roman" w:cs="Times New Roman" w:eastAsia="Times New Roman"/>
                <w:b w:val="0"/>
                <w:i w:val="0"/>
                <w:sz w:val="18"/>
                <w:rtl/>
              </w:rPr>
              <w:t>USD 1,700 – 3,900</w:t>
            </w:r>
          </w:p>
        </w:tc>
      </w:tr>
      <w:tr>
        <w:tc>
          <w:tcPr>
            <w:tcW w:type="dxa" w:w="4677"/>
          </w:tcPr>
          <w:p>
            <w:pPr>
              <w:bidi/>
              <w:spacing w:after="20" w:before="20" w:line="240" w:lineRule="auto"/>
              <w:ind w:firstLine="0"/>
              <w:jc w:val="right"/>
            </w:pPr>
            <w:r/>
            <w:r>
              <w:rPr>
                <w:rFonts w:ascii="Times New Roman" w:hAnsi="Times New Roman" w:cs="Times New Roman" w:eastAsia="Times New Roman"/>
                <w:b w:val="0"/>
                <w:i w:val="0"/>
                <w:sz w:val="18"/>
                <w:rtl/>
              </w:rPr>
              <w:t>تكامل المستشعرات (لمرة واحدة)</w:t>
            </w:r>
          </w:p>
        </w:tc>
        <w:tc>
          <w:tcPr>
            <w:tcW w:type="dxa" w:w="4677"/>
          </w:tcPr>
          <w:p>
            <w:pPr>
              <w:bidi/>
              <w:spacing w:after="20" w:before="20" w:line="240" w:lineRule="auto"/>
              <w:ind w:firstLine="0"/>
              <w:jc w:val="center"/>
            </w:pPr>
            <w:r/>
            <w:r>
              <w:rPr>
                <w:rFonts w:ascii="Times New Roman" w:hAnsi="Times New Roman" w:cs="Times New Roman" w:eastAsia="Times New Roman"/>
                <w:b w:val="0"/>
                <w:i w:val="0"/>
                <w:sz w:val="18"/>
                <w:rtl/>
              </w:rPr>
              <w:t>USD 1,100 – 2,800</w:t>
            </w:r>
          </w:p>
        </w:tc>
      </w:tr>
      <w:tr>
        <w:tc>
          <w:tcPr>
            <w:tcW w:type="dxa" w:w="4677"/>
          </w:tcPr>
          <w:p>
            <w:pPr>
              <w:bidi/>
              <w:spacing w:after="20" w:before="20" w:line="240" w:lineRule="auto"/>
              <w:ind w:firstLine="0"/>
              <w:jc w:val="right"/>
            </w:pPr>
            <w:r/>
            <w:r>
              <w:rPr>
                <w:rFonts w:ascii="Times New Roman" w:hAnsi="Times New Roman" w:cs="Times New Roman" w:eastAsia="Times New Roman"/>
                <w:b w:val="0"/>
                <w:i w:val="0"/>
                <w:sz w:val="18"/>
                <w:rtl/>
              </w:rPr>
              <w:t>تكامل إدارة الوثائق (لمرة واحدة)</w:t>
            </w:r>
          </w:p>
        </w:tc>
        <w:tc>
          <w:tcPr>
            <w:tcW w:type="dxa" w:w="4677"/>
          </w:tcPr>
          <w:p>
            <w:pPr>
              <w:bidi/>
              <w:spacing w:after="20" w:before="20" w:line="240" w:lineRule="auto"/>
              <w:ind w:firstLine="0"/>
              <w:jc w:val="center"/>
            </w:pPr>
            <w:r/>
            <w:r>
              <w:rPr>
                <w:rFonts w:ascii="Times New Roman" w:hAnsi="Times New Roman" w:cs="Times New Roman" w:eastAsia="Times New Roman"/>
                <w:b w:val="0"/>
                <w:i w:val="0"/>
                <w:sz w:val="18"/>
                <w:rtl/>
              </w:rPr>
              <w:t>USD 900 – 2,200</w:t>
            </w:r>
          </w:p>
        </w:tc>
      </w:tr>
      <w:tr>
        <w:tc>
          <w:tcPr>
            <w:tcW w:type="dxa" w:w="4677"/>
          </w:tcPr>
          <w:p>
            <w:pPr>
              <w:bidi/>
              <w:spacing w:after="20" w:before="20" w:line="240" w:lineRule="auto"/>
              <w:ind w:firstLine="0"/>
              <w:jc w:val="right"/>
            </w:pPr>
            <w:r/>
            <w:r>
              <w:rPr>
                <w:rFonts w:ascii="Times New Roman" w:hAnsi="Times New Roman" w:cs="Times New Roman" w:eastAsia="Times New Roman"/>
                <w:b w:val="0"/>
                <w:i w:val="0"/>
                <w:sz w:val="18"/>
                <w:rtl/>
              </w:rPr>
              <w:t>دعم التكاملات</w:t>
            </w:r>
          </w:p>
        </w:tc>
        <w:tc>
          <w:tcPr>
            <w:tcW w:type="dxa" w:w="4677"/>
          </w:tcPr>
          <w:p>
            <w:pPr>
              <w:bidi/>
              <w:spacing w:after="20" w:before="20" w:line="240" w:lineRule="auto"/>
              <w:ind w:firstLine="0"/>
              <w:jc w:val="center"/>
            </w:pPr>
            <w:r/>
            <w:r>
              <w:rPr>
                <w:rFonts w:ascii="Times New Roman" w:hAnsi="Times New Roman" w:cs="Times New Roman" w:eastAsia="Times New Roman"/>
                <w:b w:val="0"/>
                <w:i w:val="0"/>
                <w:sz w:val="18"/>
                <w:rtl/>
              </w:rPr>
              <w:t>USD 110 شهريًا</w:t>
            </w:r>
          </w:p>
        </w:tc>
      </w:tr>
    </w:tbl>
    <w:p>
      <w:pPr>
        <w:spacing w:after="80"/>
      </w:pPr>
    </w:p>
    <w:p>
      <w:r>
        <w:rPr>
          <w:rFonts w:ascii="Times New Roman" w:hAnsi="Times New Roman" w:cs="Times New Roman" w:eastAsia="Times New Roman"/>
          <w:b w:val="0"/>
          <w:i w:val="0"/>
          <w:sz w:val="22"/>
          <w:rtl/>
        </w:rPr>
        <w:t>تُحدَّد نطاقات التكامل في استمارة الطلب بعد دراسة أنظمة العميل.</w:t>
      </w:r>
    </w:p>
    <w:p>
      <w:pPr>
        <w:pStyle w:val="Heading2"/>
        <w:keepNext/>
      </w:pPr>
      <w:r>
        <w:rPr>
          <w:rFonts w:ascii="Times New Roman" w:hAnsi="Times New Roman" w:cs="Times New Roman" w:eastAsia="Times New Roman"/>
          <w:b/>
          <w:i w:val="0"/>
          <w:sz w:val="23"/>
          <w:rtl/>
        </w:rPr>
        <w:t>2.3. خدمات التنفيذ</w:t>
      </w:r>
    </w:p>
    <w:p>
      <w:r>
        <w:rPr>
          <w:rFonts w:ascii="Times New Roman" w:hAnsi="Times New Roman" w:cs="Times New Roman" w:eastAsia="Times New Roman"/>
          <w:b w:val="0"/>
          <w:i w:val="0"/>
          <w:sz w:val="22"/>
          <w:rtl/>
        </w:rPr>
        <w:t>المسح المكاني والتهيئة وتطوير السيناريوهات وتدريب الأفراد وسائر خدمات التنفيذ يقدّر أسعارها ويؤدّيها المرخِّص أو من يتعاقد معهم بموجب اتفاق مستقل مع العميل، وهي غير مُدرَجة في المقابل المستحق بموجب هذه الشروط.</w:t>
      </w:r>
    </w:p>
    <w:p>
      <w:pPr>
        <w:pStyle w:val="Heading1"/>
        <w:keepNext/>
        <w:jc w:val="center"/>
      </w:pPr>
      <w:r>
        <w:rPr>
          <w:rFonts w:ascii="Times New Roman" w:hAnsi="Times New Roman" w:cs="Times New Roman" w:eastAsia="Times New Roman"/>
          <w:b/>
          <w:i w:val="0"/>
          <w:sz w:val="26"/>
          <w:rtl/>
        </w:rPr>
        <w:t>الملحق 3. الدعم ومستويات الخدمة</w:t>
      </w:r>
    </w:p>
    <w:p>
      <w:pPr>
        <w:pStyle w:val="Heading2"/>
        <w:keepNext/>
      </w:pPr>
      <w:r>
        <w:rPr>
          <w:rFonts w:ascii="Times New Roman" w:hAnsi="Times New Roman" w:cs="Times New Roman" w:eastAsia="Times New Roman"/>
          <w:b/>
          <w:i w:val="0"/>
          <w:sz w:val="23"/>
          <w:rtl/>
        </w:rPr>
        <w:t>3.1. القنوات</w:t>
      </w:r>
    </w:p>
    <w:p>
      <w:pPr>
        <w:spacing w:after="40"/>
        <w:ind w:right="709" w:hanging="283"/>
      </w:pPr>
      <w:r>
        <w:rPr>
          <w:rFonts w:ascii="Times New Roman" w:hAnsi="Times New Roman" w:cs="Times New Roman" w:eastAsia="Times New Roman"/>
          <w:b w:val="0"/>
          <w:i w:val="0"/>
          <w:sz w:val="22"/>
          <w:rtl/>
        </w:rPr>
        <w:t xml:space="preserve">— البريد الإلكتروني: </w:t>
      </w:r>
      <w:r>
        <w:rPr>
          <w:rFonts w:ascii="Times New Roman" w:hAnsi="Times New Roman" w:cs="Times New Roman" w:eastAsia="Times New Roman"/>
          <w:b/>
          <w:i w:val="0"/>
          <w:sz w:val="22"/>
          <w:rtl/>
        </w:rPr>
        <w:t>support@arsy.ai</w:t>
      </w:r>
    </w:p>
    <w:p>
      <w:pPr>
        <w:spacing w:after="40"/>
        <w:ind w:right="709" w:hanging="283"/>
      </w:pPr>
      <w:r>
        <w:rPr>
          <w:rFonts w:ascii="Times New Roman" w:hAnsi="Times New Roman" w:cs="Times New Roman" w:eastAsia="Times New Roman"/>
          <w:b w:val="0"/>
          <w:i w:val="0"/>
          <w:sz w:val="22"/>
          <w:rtl/>
        </w:rPr>
        <w:t>— ARSY AI Space: https://space.arsy.ai</w:t>
      </w:r>
    </w:p>
    <w:p>
      <w:pPr>
        <w:spacing w:after="40"/>
        <w:ind w:right="709" w:hanging="283"/>
      </w:pPr>
      <w:r>
        <w:rPr>
          <w:rFonts w:ascii="Times New Roman" w:hAnsi="Times New Roman" w:cs="Times New Roman" w:eastAsia="Times New Roman"/>
          <w:b w:val="0"/>
          <w:i w:val="0"/>
          <w:sz w:val="22"/>
          <w:rtl/>
        </w:rPr>
        <w:t>— خطة Enterprise: مدير مخصَّص وقناة أولوية متفَق عليها.</w:t>
      </w:r>
    </w:p>
    <w:p>
      <w:r>
        <w:rPr>
          <w:rFonts w:ascii="Times New Roman" w:hAnsi="Times New Roman" w:cs="Times New Roman" w:eastAsia="Times New Roman"/>
          <w:b w:val="0"/>
          <w:i w:val="0"/>
          <w:sz w:val="22"/>
          <w:rtl/>
        </w:rPr>
        <w:t>تُستقبَل الطلبات مباشرةً لدى المرخِّص عبر القنوات أعلاه. ويُعدّ الطلب مسجَّلًا عند وصوله إلى ARSY AI Space أو إلى support@arsy.ai.</w:t>
      </w:r>
    </w:p>
    <w:p>
      <w:pPr>
        <w:pStyle w:val="Heading2"/>
        <w:keepNext/>
      </w:pPr>
      <w:r>
        <w:rPr>
          <w:rFonts w:ascii="Times New Roman" w:hAnsi="Times New Roman" w:cs="Times New Roman" w:eastAsia="Times New Roman"/>
          <w:b/>
          <w:i w:val="0"/>
          <w:sz w:val="23"/>
          <w:rtl/>
        </w:rPr>
        <w:t>3.2. ساعات الدعم</w:t>
      </w:r>
    </w:p>
    <w:tbl>
      <w:tblPr>
        <w:tblStyle w:val="TableGrid"/>
        <w:tblW w:type="auto" w:w="0"/>
        <w:jc w:val="center"/>
        <w:tblLayout w:type="autofit"/>
        <w:tblLook w:firstColumn="1" w:firstRow="1" w:lastColumn="0" w:lastRow="0" w:noHBand="0" w:noVBand="1" w:val="04A0"/>
        <w:bidiVisual/>
      </w:tblPr>
      <w:tblGrid>
        <w:gridCol w:w="4677"/>
        <w:gridCol w:w="4677"/>
      </w:tblGrid>
      <w:tr>
        <w:trPr>
          <w:tblHeader w:val="true"/>
        </w:trPr>
        <w:tc>
          <w:tcPr>
            <w:tcW w:type="dxa" w:w="4677"/>
            <w:shd w:val="clear" w:fill="EDEDED"/>
          </w:tcPr>
          <w:p>
            <w:pPr>
              <w:bidi/>
              <w:spacing w:after="20" w:before="20" w:line="240" w:lineRule="auto"/>
              <w:ind w:firstLine="0"/>
              <w:jc w:val="center"/>
            </w:pPr>
            <w:r/>
            <w:r>
              <w:rPr>
                <w:rFonts w:ascii="Times New Roman" w:hAnsi="Times New Roman" w:cs="Times New Roman" w:eastAsia="Times New Roman"/>
                <w:b/>
                <w:i w:val="0"/>
                <w:sz w:val="18"/>
                <w:rtl/>
              </w:rPr>
              <w:t>الخطة</w:t>
            </w:r>
          </w:p>
        </w:tc>
        <w:tc>
          <w:tcPr>
            <w:tcW w:type="dxa" w:w="4677"/>
            <w:shd w:val="clear" w:fill="EDEDED"/>
          </w:tcPr>
          <w:p>
            <w:pPr>
              <w:bidi/>
              <w:spacing w:after="20" w:before="20" w:line="240" w:lineRule="auto"/>
              <w:ind w:firstLine="0"/>
              <w:jc w:val="center"/>
            </w:pPr>
            <w:r/>
            <w:r>
              <w:rPr>
                <w:rFonts w:ascii="Times New Roman" w:hAnsi="Times New Roman" w:cs="Times New Roman" w:eastAsia="Times New Roman"/>
                <w:b/>
                <w:i w:val="0"/>
                <w:sz w:val="18"/>
                <w:rtl/>
              </w:rPr>
              <w:t>الساعات</w:t>
            </w:r>
          </w:p>
        </w:tc>
      </w:tr>
      <w:tr>
        <w:tc>
          <w:tcPr>
            <w:tcW w:type="dxa" w:w="4677"/>
          </w:tcPr>
          <w:p>
            <w:pPr>
              <w:bidi/>
              <w:spacing w:after="20" w:before="20" w:line="240" w:lineRule="auto"/>
              <w:ind w:firstLine="0"/>
              <w:jc w:val="right"/>
            </w:pPr>
            <w:r/>
            <w:r>
              <w:rPr>
                <w:rFonts w:ascii="Times New Roman" w:hAnsi="Times New Roman" w:cs="Times New Roman" w:eastAsia="Times New Roman"/>
                <w:b w:val="0"/>
                <w:i w:val="0"/>
                <w:sz w:val="18"/>
                <w:rtl/>
              </w:rPr>
              <w:t>Lite</w:t>
            </w:r>
          </w:p>
        </w:tc>
        <w:tc>
          <w:tcPr>
            <w:tcW w:type="dxa" w:w="4677"/>
          </w:tcPr>
          <w:p>
            <w:pPr>
              <w:bidi/>
              <w:spacing w:after="20" w:before="20" w:line="240" w:lineRule="auto"/>
              <w:ind w:firstLine="0"/>
              <w:jc w:val="center"/>
            </w:pPr>
            <w:r/>
            <w:r>
              <w:rPr>
                <w:rFonts w:ascii="Times New Roman" w:hAnsi="Times New Roman" w:cs="Times New Roman" w:eastAsia="Times New Roman"/>
                <w:b w:val="0"/>
                <w:i w:val="0"/>
                <w:sz w:val="18"/>
                <w:rtl/>
              </w:rPr>
              <w:t>بريد، أيام العمل</w:t>
            </w:r>
          </w:p>
        </w:tc>
      </w:tr>
      <w:tr>
        <w:tc>
          <w:tcPr>
            <w:tcW w:type="dxa" w:w="4677"/>
          </w:tcPr>
          <w:p>
            <w:pPr>
              <w:bidi/>
              <w:spacing w:after="20" w:before="20" w:line="240" w:lineRule="auto"/>
              <w:ind w:firstLine="0"/>
              <w:jc w:val="right"/>
            </w:pPr>
            <w:r/>
            <w:r>
              <w:rPr>
                <w:rFonts w:ascii="Times New Roman" w:hAnsi="Times New Roman" w:cs="Times New Roman" w:eastAsia="Times New Roman"/>
                <w:b w:val="0"/>
                <w:i w:val="0"/>
                <w:sz w:val="18"/>
                <w:rtl/>
              </w:rPr>
              <w:t>Starter</w:t>
            </w:r>
          </w:p>
        </w:tc>
        <w:tc>
          <w:tcPr>
            <w:tcW w:type="dxa" w:w="4677"/>
          </w:tcPr>
          <w:p>
            <w:pPr>
              <w:bidi/>
              <w:spacing w:after="20" w:before="20" w:line="240" w:lineRule="auto"/>
              <w:ind w:firstLine="0"/>
              <w:jc w:val="center"/>
            </w:pPr>
            <w:r/>
            <w:r>
              <w:rPr>
                <w:rFonts w:ascii="Times New Roman" w:hAnsi="Times New Roman" w:cs="Times New Roman" w:eastAsia="Times New Roman"/>
                <w:b w:val="0"/>
                <w:i w:val="0"/>
                <w:sz w:val="18"/>
                <w:rtl/>
              </w:rPr>
              <w:t>بريد، أيام العمل</w:t>
            </w:r>
          </w:p>
        </w:tc>
      </w:tr>
      <w:tr>
        <w:tc>
          <w:tcPr>
            <w:tcW w:type="dxa" w:w="4677"/>
          </w:tcPr>
          <w:p>
            <w:pPr>
              <w:bidi/>
              <w:spacing w:after="20" w:before="20" w:line="240" w:lineRule="auto"/>
              <w:ind w:firstLine="0"/>
              <w:jc w:val="right"/>
            </w:pPr>
            <w:r/>
            <w:r>
              <w:rPr>
                <w:rFonts w:ascii="Times New Roman" w:hAnsi="Times New Roman" w:cs="Times New Roman" w:eastAsia="Times New Roman"/>
                <w:b w:val="0"/>
                <w:i w:val="0"/>
                <w:sz w:val="18"/>
                <w:rtl/>
              </w:rPr>
              <w:t>Professional</w:t>
            </w:r>
          </w:p>
        </w:tc>
        <w:tc>
          <w:tcPr>
            <w:tcW w:type="dxa" w:w="4677"/>
          </w:tcPr>
          <w:p>
            <w:pPr>
              <w:bidi/>
              <w:spacing w:after="20" w:before="20" w:line="240" w:lineRule="auto"/>
              <w:ind w:firstLine="0"/>
              <w:jc w:val="center"/>
            </w:pPr>
            <w:r/>
            <w:r>
              <w:rPr>
                <w:rFonts w:ascii="Times New Roman" w:hAnsi="Times New Roman" w:cs="Times New Roman" w:eastAsia="Times New Roman"/>
                <w:b w:val="0"/>
                <w:i w:val="0"/>
                <w:sz w:val="18"/>
                <w:rtl/>
              </w:rPr>
              <w:t>8×5 (الاثنين إلى الجمعة، 09:00–18:00 بتوقيت وسط أوروبا، عدا العطلات الرسمية)</w:t>
            </w:r>
          </w:p>
        </w:tc>
      </w:tr>
      <w:tr>
        <w:tc>
          <w:tcPr>
            <w:tcW w:type="dxa" w:w="4677"/>
          </w:tcPr>
          <w:p>
            <w:pPr>
              <w:bidi/>
              <w:spacing w:after="20" w:before="20" w:line="240" w:lineRule="auto"/>
              <w:ind w:firstLine="0"/>
              <w:jc w:val="right"/>
            </w:pPr>
            <w:r/>
            <w:r>
              <w:rPr>
                <w:rFonts w:ascii="Times New Roman" w:hAnsi="Times New Roman" w:cs="Times New Roman" w:eastAsia="Times New Roman"/>
                <w:b w:val="0"/>
                <w:i w:val="0"/>
                <w:sz w:val="18"/>
                <w:rtl/>
              </w:rPr>
              <w:t>Enterprise</w:t>
            </w:r>
          </w:p>
        </w:tc>
        <w:tc>
          <w:tcPr>
            <w:tcW w:type="dxa" w:w="4677"/>
          </w:tcPr>
          <w:p>
            <w:pPr>
              <w:bidi/>
              <w:spacing w:after="20" w:before="20" w:line="240" w:lineRule="auto"/>
              <w:ind w:firstLine="0"/>
              <w:jc w:val="center"/>
            </w:pPr>
            <w:r/>
            <w:r>
              <w:rPr>
                <w:rFonts w:ascii="Times New Roman" w:hAnsi="Times New Roman" w:cs="Times New Roman" w:eastAsia="Times New Roman"/>
                <w:b w:val="0"/>
                <w:i w:val="0"/>
                <w:sz w:val="18"/>
                <w:rtl/>
              </w:rPr>
              <w:t>24×7</w:t>
            </w:r>
          </w:p>
        </w:tc>
      </w:tr>
    </w:tbl>
    <w:p>
      <w:pPr>
        <w:spacing w:after="80"/>
      </w:pPr>
    </w:p>
    <w:p>
      <w:pPr>
        <w:pStyle w:val="Heading2"/>
        <w:keepNext/>
      </w:pPr>
      <w:r>
        <w:rPr>
          <w:rFonts w:ascii="Times New Roman" w:hAnsi="Times New Roman" w:cs="Times New Roman" w:eastAsia="Times New Roman"/>
          <w:b/>
          <w:i w:val="0"/>
          <w:sz w:val="23"/>
          <w:rtl/>
        </w:rPr>
        <w:t>3.3. الأولويات وأزمنة الاستجابة</w:t>
      </w:r>
    </w:p>
    <w:tbl>
      <w:tblPr>
        <w:tblStyle w:val="TableGrid"/>
        <w:tblW w:type="auto" w:w="0"/>
        <w:jc w:val="center"/>
        <w:tblLayout w:type="autofit"/>
        <w:tblLook w:firstColumn="1" w:firstRow="1" w:lastColumn="0" w:lastRow="0" w:noHBand="0" w:noVBand="1" w:val="04A0"/>
        <w:bidiVisual/>
      </w:tblPr>
      <w:tblGrid>
        <w:gridCol w:w="2339"/>
        <w:gridCol w:w="2339"/>
        <w:gridCol w:w="2339"/>
        <w:gridCol w:w="2339"/>
      </w:tblGrid>
      <w:tr>
        <w:trPr>
          <w:tblHeader w:val="true"/>
        </w:trPr>
        <w:tc>
          <w:tcPr>
            <w:tcW w:type="dxa" w:w="2339"/>
            <w:shd w:val="clear" w:fill="EDEDED"/>
          </w:tcPr>
          <w:p>
            <w:pPr>
              <w:bidi/>
              <w:spacing w:after="20" w:before="20" w:line="240" w:lineRule="auto"/>
              <w:ind w:firstLine="0"/>
              <w:jc w:val="center"/>
            </w:pPr>
            <w:r/>
            <w:r>
              <w:rPr>
                <w:rFonts w:ascii="Times New Roman" w:hAnsi="Times New Roman" w:cs="Times New Roman" w:eastAsia="Times New Roman"/>
                <w:b/>
                <w:i w:val="0"/>
                <w:sz w:val="18"/>
                <w:rtl/>
              </w:rPr>
              <w:t>الأولوية</w:t>
            </w:r>
          </w:p>
        </w:tc>
        <w:tc>
          <w:tcPr>
            <w:tcW w:type="dxa" w:w="2339"/>
            <w:shd w:val="clear" w:fill="EDEDED"/>
          </w:tcPr>
          <w:p>
            <w:pPr>
              <w:bidi/>
              <w:spacing w:after="20" w:before="20" w:line="240" w:lineRule="auto"/>
              <w:ind w:firstLine="0"/>
              <w:jc w:val="center"/>
            </w:pPr>
            <w:r/>
            <w:r>
              <w:rPr>
                <w:rFonts w:ascii="Times New Roman" w:hAnsi="Times New Roman" w:cs="Times New Roman" w:eastAsia="Times New Roman"/>
                <w:b/>
                <w:i w:val="0"/>
                <w:sz w:val="18"/>
                <w:rtl/>
              </w:rPr>
              <w:t>الوصف</w:t>
            </w:r>
          </w:p>
        </w:tc>
        <w:tc>
          <w:tcPr>
            <w:tcW w:type="dxa" w:w="2339"/>
            <w:shd w:val="clear" w:fill="EDEDED"/>
          </w:tcPr>
          <w:p>
            <w:pPr>
              <w:bidi/>
              <w:spacing w:after="20" w:before="20" w:line="240" w:lineRule="auto"/>
              <w:ind w:firstLine="0"/>
              <w:jc w:val="center"/>
            </w:pPr>
            <w:r/>
            <w:r>
              <w:rPr>
                <w:rFonts w:ascii="Times New Roman" w:hAnsi="Times New Roman" w:cs="Times New Roman" w:eastAsia="Times New Roman"/>
                <w:b/>
                <w:i w:val="0"/>
                <w:sz w:val="18"/>
                <w:rtl/>
              </w:rPr>
              <w:t>الاستجابة (Professional)</w:t>
            </w:r>
          </w:p>
        </w:tc>
        <w:tc>
          <w:tcPr>
            <w:tcW w:type="dxa" w:w="2339"/>
            <w:shd w:val="clear" w:fill="EDEDED"/>
          </w:tcPr>
          <w:p>
            <w:pPr>
              <w:bidi/>
              <w:spacing w:after="20" w:before="20" w:line="240" w:lineRule="auto"/>
              <w:ind w:firstLine="0"/>
              <w:jc w:val="center"/>
            </w:pPr>
            <w:r/>
            <w:r>
              <w:rPr>
                <w:rFonts w:ascii="Times New Roman" w:hAnsi="Times New Roman" w:cs="Times New Roman" w:eastAsia="Times New Roman"/>
                <w:b/>
                <w:i w:val="0"/>
                <w:sz w:val="18"/>
                <w:rtl/>
              </w:rPr>
              <w:t>الاستجابة (Enterprise)</w:t>
            </w:r>
          </w:p>
        </w:tc>
      </w:tr>
      <w:tr>
        <w:tc>
          <w:tcPr>
            <w:tcW w:type="dxa" w:w="2339"/>
          </w:tcPr>
          <w:p>
            <w:pPr>
              <w:bidi/>
              <w:spacing w:after="20" w:before="20" w:line="240" w:lineRule="auto"/>
              <w:ind w:firstLine="0"/>
              <w:jc w:val="right"/>
            </w:pPr>
            <w:r/>
            <w:r>
              <w:rPr>
                <w:rFonts w:ascii="Times New Roman" w:hAnsi="Times New Roman" w:cs="Times New Roman" w:eastAsia="Times New Roman"/>
                <w:b/>
                <w:i w:val="0"/>
                <w:sz w:val="18"/>
                <w:rtl/>
              </w:rPr>
              <w:t>P1 — حرِج</w:t>
            </w:r>
          </w:p>
        </w:tc>
        <w:tc>
          <w:tcPr>
            <w:tcW w:type="dxa" w:w="2339"/>
          </w:tcPr>
          <w:p>
            <w:pPr>
              <w:bidi/>
              <w:spacing w:after="20" w:before="20" w:line="240" w:lineRule="auto"/>
              <w:ind w:firstLine="0"/>
              <w:jc w:val="center"/>
            </w:pPr>
            <w:r/>
            <w:r>
              <w:rPr>
                <w:rFonts w:ascii="Times New Roman" w:hAnsi="Times New Roman" w:cs="Times New Roman" w:eastAsia="Times New Roman"/>
                <w:b w:val="0"/>
                <w:i w:val="0"/>
                <w:sz w:val="18"/>
                <w:rtl/>
              </w:rPr>
              <w:t>النسخة التشغيلية غير متاحة كليًا، أو تعذّر السيناريوهات الأساسية في جميع المواقع</w:t>
            </w:r>
          </w:p>
        </w:tc>
        <w:tc>
          <w:tcPr>
            <w:tcW w:type="dxa" w:w="2339"/>
          </w:tcPr>
          <w:p>
            <w:pPr>
              <w:bidi/>
              <w:spacing w:after="20" w:before="20" w:line="240" w:lineRule="auto"/>
              <w:ind w:firstLine="0"/>
              <w:jc w:val="center"/>
            </w:pPr>
            <w:r/>
            <w:r>
              <w:rPr>
                <w:rFonts w:ascii="Times New Roman" w:hAnsi="Times New Roman" w:cs="Times New Roman" w:eastAsia="Times New Roman"/>
                <w:b w:val="0"/>
                <w:i w:val="0"/>
                <w:sz w:val="18"/>
                <w:rtl/>
              </w:rPr>
              <w:t>4 ساعات عمل</w:t>
            </w:r>
          </w:p>
        </w:tc>
        <w:tc>
          <w:tcPr>
            <w:tcW w:type="dxa" w:w="2339"/>
          </w:tcPr>
          <w:p>
            <w:pPr>
              <w:bidi/>
              <w:spacing w:after="20" w:before="20" w:line="240" w:lineRule="auto"/>
              <w:ind w:firstLine="0"/>
              <w:jc w:val="center"/>
            </w:pPr>
            <w:r/>
            <w:r>
              <w:rPr>
                <w:rFonts w:ascii="Times New Roman" w:hAnsi="Times New Roman" w:cs="Times New Roman" w:eastAsia="Times New Roman"/>
                <w:b w:val="0"/>
                <w:i w:val="0"/>
                <w:sz w:val="18"/>
                <w:rtl/>
              </w:rPr>
              <w:t>1 ساعة</w:t>
            </w:r>
          </w:p>
        </w:tc>
      </w:tr>
      <w:tr>
        <w:tc>
          <w:tcPr>
            <w:tcW w:type="dxa" w:w="2339"/>
          </w:tcPr>
          <w:p>
            <w:pPr>
              <w:bidi/>
              <w:spacing w:after="20" w:before="20" w:line="240" w:lineRule="auto"/>
              <w:ind w:firstLine="0"/>
              <w:jc w:val="right"/>
            </w:pPr>
            <w:r/>
            <w:r>
              <w:rPr>
                <w:rFonts w:ascii="Times New Roman" w:hAnsi="Times New Roman" w:cs="Times New Roman" w:eastAsia="Times New Roman"/>
                <w:b/>
                <w:i w:val="0"/>
                <w:sz w:val="18"/>
                <w:rtl/>
              </w:rPr>
              <w:t>P2 — مرتفع</w:t>
            </w:r>
          </w:p>
        </w:tc>
        <w:tc>
          <w:tcPr>
            <w:tcW w:type="dxa" w:w="2339"/>
          </w:tcPr>
          <w:p>
            <w:pPr>
              <w:bidi/>
              <w:spacing w:after="20" w:before="20" w:line="240" w:lineRule="auto"/>
              <w:ind w:firstLine="0"/>
              <w:jc w:val="center"/>
            </w:pPr>
            <w:r/>
            <w:r>
              <w:rPr>
                <w:rFonts w:ascii="Times New Roman" w:hAnsi="Times New Roman" w:cs="Times New Roman" w:eastAsia="Times New Roman"/>
                <w:b w:val="0"/>
                <w:i w:val="0"/>
                <w:sz w:val="18"/>
                <w:rtl/>
              </w:rPr>
              <w:t>فقدان جوهري للوظائف، دون حل بديل</w:t>
            </w:r>
          </w:p>
        </w:tc>
        <w:tc>
          <w:tcPr>
            <w:tcW w:type="dxa" w:w="2339"/>
          </w:tcPr>
          <w:p>
            <w:pPr>
              <w:bidi/>
              <w:spacing w:after="20" w:before="20" w:line="240" w:lineRule="auto"/>
              <w:ind w:firstLine="0"/>
              <w:jc w:val="center"/>
            </w:pPr>
            <w:r/>
            <w:r>
              <w:rPr>
                <w:rFonts w:ascii="Times New Roman" w:hAnsi="Times New Roman" w:cs="Times New Roman" w:eastAsia="Times New Roman"/>
                <w:b w:val="0"/>
                <w:i w:val="0"/>
                <w:sz w:val="18"/>
                <w:rtl/>
              </w:rPr>
              <w:t>8 ساعات عمل</w:t>
            </w:r>
          </w:p>
        </w:tc>
        <w:tc>
          <w:tcPr>
            <w:tcW w:type="dxa" w:w="2339"/>
          </w:tcPr>
          <w:p>
            <w:pPr>
              <w:bidi/>
              <w:spacing w:after="20" w:before="20" w:line="240" w:lineRule="auto"/>
              <w:ind w:firstLine="0"/>
              <w:jc w:val="center"/>
            </w:pPr>
            <w:r/>
            <w:r>
              <w:rPr>
                <w:rFonts w:ascii="Times New Roman" w:hAnsi="Times New Roman" w:cs="Times New Roman" w:eastAsia="Times New Roman"/>
                <w:b w:val="0"/>
                <w:i w:val="0"/>
                <w:sz w:val="18"/>
                <w:rtl/>
              </w:rPr>
              <w:t>4 ساعات</w:t>
            </w:r>
          </w:p>
        </w:tc>
      </w:tr>
      <w:tr>
        <w:tc>
          <w:tcPr>
            <w:tcW w:type="dxa" w:w="2339"/>
          </w:tcPr>
          <w:p>
            <w:pPr>
              <w:bidi/>
              <w:spacing w:after="20" w:before="20" w:line="240" w:lineRule="auto"/>
              <w:ind w:firstLine="0"/>
              <w:jc w:val="right"/>
            </w:pPr>
            <w:r/>
            <w:r>
              <w:rPr>
                <w:rFonts w:ascii="Times New Roman" w:hAnsi="Times New Roman" w:cs="Times New Roman" w:eastAsia="Times New Roman"/>
                <w:b/>
                <w:i w:val="0"/>
                <w:sz w:val="18"/>
                <w:rtl/>
              </w:rPr>
              <w:t>P3 — متوسط</w:t>
            </w:r>
          </w:p>
        </w:tc>
        <w:tc>
          <w:tcPr>
            <w:tcW w:type="dxa" w:w="2339"/>
          </w:tcPr>
          <w:p>
            <w:pPr>
              <w:bidi/>
              <w:spacing w:after="20" w:before="20" w:line="240" w:lineRule="auto"/>
              <w:ind w:firstLine="0"/>
              <w:jc w:val="center"/>
            </w:pPr>
            <w:r/>
            <w:r>
              <w:rPr>
                <w:rFonts w:ascii="Times New Roman" w:hAnsi="Times New Roman" w:cs="Times New Roman" w:eastAsia="Times New Roman"/>
                <w:b w:val="0"/>
                <w:i w:val="0"/>
                <w:sz w:val="18"/>
                <w:rtl/>
              </w:rPr>
              <w:t>خلل جزئي، مع توافر حل بديل</w:t>
            </w:r>
          </w:p>
        </w:tc>
        <w:tc>
          <w:tcPr>
            <w:tcW w:type="dxa" w:w="2339"/>
          </w:tcPr>
          <w:p>
            <w:pPr>
              <w:bidi/>
              <w:spacing w:after="20" w:before="20" w:line="240" w:lineRule="auto"/>
              <w:ind w:firstLine="0"/>
              <w:jc w:val="center"/>
            </w:pPr>
            <w:r/>
            <w:r>
              <w:rPr>
                <w:rFonts w:ascii="Times New Roman" w:hAnsi="Times New Roman" w:cs="Times New Roman" w:eastAsia="Times New Roman"/>
                <w:b w:val="0"/>
                <w:i w:val="0"/>
                <w:sz w:val="18"/>
                <w:rtl/>
              </w:rPr>
              <w:t>يوما عمل</w:t>
            </w:r>
          </w:p>
        </w:tc>
        <w:tc>
          <w:tcPr>
            <w:tcW w:type="dxa" w:w="2339"/>
          </w:tcPr>
          <w:p>
            <w:pPr>
              <w:bidi/>
              <w:spacing w:after="20" w:before="20" w:line="240" w:lineRule="auto"/>
              <w:ind w:firstLine="0"/>
              <w:jc w:val="center"/>
            </w:pPr>
            <w:r/>
            <w:r>
              <w:rPr>
                <w:rFonts w:ascii="Times New Roman" w:hAnsi="Times New Roman" w:cs="Times New Roman" w:eastAsia="Times New Roman"/>
                <w:b w:val="0"/>
                <w:i w:val="0"/>
                <w:sz w:val="18"/>
                <w:rtl/>
              </w:rPr>
              <w:t>يوم عمل</w:t>
            </w:r>
          </w:p>
        </w:tc>
      </w:tr>
      <w:tr>
        <w:tc>
          <w:tcPr>
            <w:tcW w:type="dxa" w:w="2339"/>
          </w:tcPr>
          <w:p>
            <w:pPr>
              <w:bidi/>
              <w:spacing w:after="20" w:before="20" w:line="240" w:lineRule="auto"/>
              <w:ind w:firstLine="0"/>
              <w:jc w:val="right"/>
            </w:pPr>
            <w:r/>
            <w:r>
              <w:rPr>
                <w:rFonts w:ascii="Times New Roman" w:hAnsi="Times New Roman" w:cs="Times New Roman" w:eastAsia="Times New Roman"/>
                <w:b/>
                <w:i w:val="0"/>
                <w:sz w:val="18"/>
                <w:rtl/>
              </w:rPr>
              <w:t>P4 — منخفض</w:t>
            </w:r>
          </w:p>
        </w:tc>
        <w:tc>
          <w:tcPr>
            <w:tcW w:type="dxa" w:w="2339"/>
          </w:tcPr>
          <w:p>
            <w:pPr>
              <w:bidi/>
              <w:spacing w:after="20" w:before="20" w:line="240" w:lineRule="auto"/>
              <w:ind w:firstLine="0"/>
              <w:jc w:val="center"/>
            </w:pPr>
            <w:r/>
            <w:r>
              <w:rPr>
                <w:rFonts w:ascii="Times New Roman" w:hAnsi="Times New Roman" w:cs="Times New Roman" w:eastAsia="Times New Roman"/>
                <w:b w:val="0"/>
                <w:i w:val="0"/>
                <w:sz w:val="18"/>
                <w:rtl/>
              </w:rPr>
              <w:t>استفسارات، طلبات تغيير، وثائق</w:t>
            </w:r>
          </w:p>
        </w:tc>
        <w:tc>
          <w:tcPr>
            <w:tcW w:type="dxa" w:w="2339"/>
          </w:tcPr>
          <w:p>
            <w:pPr>
              <w:bidi/>
              <w:spacing w:after="20" w:before="20" w:line="240" w:lineRule="auto"/>
              <w:ind w:firstLine="0"/>
              <w:jc w:val="center"/>
            </w:pPr>
            <w:r/>
            <w:r>
              <w:rPr>
                <w:rFonts w:ascii="Times New Roman" w:hAnsi="Times New Roman" w:cs="Times New Roman" w:eastAsia="Times New Roman"/>
                <w:b w:val="0"/>
                <w:i w:val="0"/>
                <w:sz w:val="18"/>
                <w:rtl/>
              </w:rPr>
              <w:t>5 أيام عمل</w:t>
            </w:r>
          </w:p>
        </w:tc>
        <w:tc>
          <w:tcPr>
            <w:tcW w:type="dxa" w:w="2339"/>
          </w:tcPr>
          <w:p>
            <w:pPr>
              <w:bidi/>
              <w:spacing w:after="20" w:before="20" w:line="240" w:lineRule="auto"/>
              <w:ind w:firstLine="0"/>
              <w:jc w:val="center"/>
            </w:pPr>
            <w:r/>
            <w:r>
              <w:rPr>
                <w:rFonts w:ascii="Times New Roman" w:hAnsi="Times New Roman" w:cs="Times New Roman" w:eastAsia="Times New Roman"/>
                <w:b w:val="0"/>
                <w:i w:val="0"/>
                <w:sz w:val="18"/>
                <w:rtl/>
              </w:rPr>
              <w:t>3 أيام عمل</w:t>
            </w:r>
          </w:p>
        </w:tc>
      </w:tr>
    </w:tbl>
    <w:p>
      <w:pPr>
        <w:spacing w:after="80"/>
      </w:pPr>
    </w:p>
    <w:p>
      <w:r>
        <w:rPr>
          <w:rFonts w:ascii="Times New Roman" w:hAnsi="Times New Roman" w:cs="Times New Roman" w:eastAsia="Times New Roman"/>
          <w:b w:val="0"/>
          <w:i w:val="0"/>
          <w:sz w:val="22"/>
          <w:rtl/>
        </w:rPr>
        <w:t>بالنسبة إلى خطتي Lite وStarter، هدف الاستجابة ثلاثة (3) أيام عمل لجميع الأولويات، دون التزام بزمن الحل.</w:t>
      </w:r>
    </w:p>
    <w:p>
      <w:r>
        <w:rPr>
          <w:rFonts w:ascii="Times New Roman" w:hAnsi="Times New Roman" w:cs="Times New Roman" w:eastAsia="Times New Roman"/>
          <w:b/>
          <w:i w:val="0"/>
          <w:sz w:val="22"/>
          <w:rtl/>
        </w:rPr>
        <w:t>زمن الاستجابة</w:t>
      </w:r>
      <w:r>
        <w:rPr>
          <w:rFonts w:ascii="Times New Roman" w:hAnsi="Times New Roman" w:cs="Times New Roman" w:eastAsia="Times New Roman"/>
          <w:b w:val="0"/>
          <w:i w:val="0"/>
          <w:sz w:val="22"/>
          <w:rtl/>
        </w:rPr>
        <w:t xml:space="preserve"> هو المدة من تسجيل الطلب إلى الإقرار باستلامه وتصنيف أولويته. ولا يُقدَّم أي التزام بزمن الحل ما لم تنص استمارة الطلب على ذلك صراحةً.</w:t>
      </w:r>
    </w:p>
    <w:p>
      <w:pPr>
        <w:pStyle w:val="Heading2"/>
        <w:keepNext/>
      </w:pPr>
      <w:r>
        <w:rPr>
          <w:rFonts w:ascii="Times New Roman" w:hAnsi="Times New Roman" w:cs="Times New Roman" w:eastAsia="Times New Roman"/>
          <w:b/>
          <w:i w:val="0"/>
          <w:sz w:val="23"/>
          <w:rtl/>
        </w:rPr>
        <w:t>3.4. التوافر (السحابة المُدارة فقط)</w:t>
      </w:r>
    </w:p>
    <w:tbl>
      <w:tblPr>
        <w:tblStyle w:val="TableGrid"/>
        <w:tblW w:type="auto" w:w="0"/>
        <w:jc w:val="center"/>
        <w:tblLayout w:type="autofit"/>
        <w:tblLook w:firstColumn="1" w:firstRow="1" w:lastColumn="0" w:lastRow="0" w:noHBand="0" w:noVBand="1" w:val="04A0"/>
        <w:bidiVisual/>
      </w:tblPr>
      <w:tblGrid>
        <w:gridCol w:w="4677"/>
        <w:gridCol w:w="4677"/>
      </w:tblGrid>
      <w:tr>
        <w:trPr>
          <w:tblHeader w:val="true"/>
        </w:trPr>
        <w:tc>
          <w:tcPr>
            <w:tcW w:type="dxa" w:w="4677"/>
            <w:shd w:val="clear" w:fill="EDEDED"/>
          </w:tcPr>
          <w:p>
            <w:pPr>
              <w:bidi/>
              <w:spacing w:after="20" w:before="20" w:line="240" w:lineRule="auto"/>
              <w:ind w:firstLine="0"/>
              <w:jc w:val="center"/>
            </w:pPr>
            <w:r/>
            <w:r>
              <w:rPr>
                <w:rFonts w:ascii="Times New Roman" w:hAnsi="Times New Roman" w:cs="Times New Roman" w:eastAsia="Times New Roman"/>
                <w:b/>
                <w:i w:val="0"/>
                <w:sz w:val="18"/>
                <w:rtl/>
              </w:rPr>
              <w:t>الخطة</w:t>
            </w:r>
          </w:p>
        </w:tc>
        <w:tc>
          <w:tcPr>
            <w:tcW w:type="dxa" w:w="4677"/>
            <w:shd w:val="clear" w:fill="EDEDED"/>
          </w:tcPr>
          <w:p>
            <w:pPr>
              <w:bidi/>
              <w:spacing w:after="20" w:before="20" w:line="240" w:lineRule="auto"/>
              <w:ind w:firstLine="0"/>
              <w:jc w:val="center"/>
            </w:pPr>
            <w:r/>
            <w:r>
              <w:rPr>
                <w:rFonts w:ascii="Times New Roman" w:hAnsi="Times New Roman" w:cs="Times New Roman" w:eastAsia="Times New Roman"/>
                <w:b/>
                <w:i w:val="0"/>
                <w:sz w:val="18"/>
                <w:rtl/>
              </w:rPr>
              <w:t>التزام التوافر الشهري</w:t>
            </w:r>
          </w:p>
        </w:tc>
      </w:tr>
      <w:tr>
        <w:tc>
          <w:tcPr>
            <w:tcW w:type="dxa" w:w="4677"/>
          </w:tcPr>
          <w:p>
            <w:pPr>
              <w:bidi/>
              <w:spacing w:after="20" w:before="20" w:line="240" w:lineRule="auto"/>
              <w:ind w:firstLine="0"/>
              <w:jc w:val="right"/>
            </w:pPr>
            <w:r/>
            <w:r>
              <w:rPr>
                <w:rFonts w:ascii="Times New Roman" w:hAnsi="Times New Roman" w:cs="Times New Roman" w:eastAsia="Times New Roman"/>
                <w:b w:val="0"/>
                <w:i w:val="0"/>
                <w:sz w:val="18"/>
                <w:rtl/>
              </w:rPr>
              <w:t>Lite</w:t>
            </w:r>
          </w:p>
        </w:tc>
        <w:tc>
          <w:tcPr>
            <w:tcW w:type="dxa" w:w="4677"/>
          </w:tcPr>
          <w:p>
            <w:pPr>
              <w:bidi/>
              <w:spacing w:after="20" w:before="20" w:line="240" w:lineRule="auto"/>
              <w:ind w:firstLine="0"/>
              <w:jc w:val="center"/>
            </w:pPr>
            <w:r/>
            <w:r>
              <w:rPr>
                <w:rFonts w:ascii="Times New Roman" w:hAnsi="Times New Roman" w:cs="Times New Roman" w:eastAsia="Times New Roman"/>
                <w:b w:val="0"/>
                <w:i w:val="0"/>
                <w:sz w:val="18"/>
                <w:rtl/>
              </w:rPr>
              <w:t>لا يوجد</w:t>
            </w:r>
          </w:p>
        </w:tc>
      </w:tr>
      <w:tr>
        <w:tc>
          <w:tcPr>
            <w:tcW w:type="dxa" w:w="4677"/>
          </w:tcPr>
          <w:p>
            <w:pPr>
              <w:bidi/>
              <w:spacing w:after="20" w:before="20" w:line="240" w:lineRule="auto"/>
              <w:ind w:firstLine="0"/>
              <w:jc w:val="right"/>
            </w:pPr>
            <w:r/>
            <w:r>
              <w:rPr>
                <w:rFonts w:ascii="Times New Roman" w:hAnsi="Times New Roman" w:cs="Times New Roman" w:eastAsia="Times New Roman"/>
                <w:b w:val="0"/>
                <w:i w:val="0"/>
                <w:sz w:val="18"/>
                <w:rtl/>
              </w:rPr>
              <w:t>Starter</w:t>
            </w:r>
          </w:p>
        </w:tc>
        <w:tc>
          <w:tcPr>
            <w:tcW w:type="dxa" w:w="4677"/>
          </w:tcPr>
          <w:p>
            <w:pPr>
              <w:bidi/>
              <w:spacing w:after="20" w:before="20" w:line="240" w:lineRule="auto"/>
              <w:ind w:firstLine="0"/>
              <w:jc w:val="center"/>
            </w:pPr>
            <w:r/>
            <w:r>
              <w:rPr>
                <w:rFonts w:ascii="Times New Roman" w:hAnsi="Times New Roman" w:cs="Times New Roman" w:eastAsia="Times New Roman"/>
                <w:b w:val="0"/>
                <w:i w:val="0"/>
                <w:sz w:val="18"/>
                <w:rtl/>
              </w:rPr>
              <w:t>لا يوجد</w:t>
            </w:r>
          </w:p>
        </w:tc>
      </w:tr>
      <w:tr>
        <w:tc>
          <w:tcPr>
            <w:tcW w:type="dxa" w:w="4677"/>
          </w:tcPr>
          <w:p>
            <w:pPr>
              <w:bidi/>
              <w:spacing w:after="20" w:before="20" w:line="240" w:lineRule="auto"/>
              <w:ind w:firstLine="0"/>
              <w:jc w:val="right"/>
            </w:pPr>
            <w:r/>
            <w:r>
              <w:rPr>
                <w:rFonts w:ascii="Times New Roman" w:hAnsi="Times New Roman" w:cs="Times New Roman" w:eastAsia="Times New Roman"/>
                <w:b w:val="0"/>
                <w:i w:val="0"/>
                <w:sz w:val="18"/>
                <w:rtl/>
              </w:rPr>
              <w:t>Professional</w:t>
            </w:r>
          </w:p>
        </w:tc>
        <w:tc>
          <w:tcPr>
            <w:tcW w:type="dxa" w:w="4677"/>
          </w:tcPr>
          <w:p>
            <w:pPr>
              <w:bidi/>
              <w:spacing w:after="20" w:before="20" w:line="240" w:lineRule="auto"/>
              <w:ind w:firstLine="0"/>
              <w:jc w:val="center"/>
            </w:pPr>
            <w:r/>
            <w:r>
              <w:rPr>
                <w:rFonts w:ascii="Times New Roman" w:hAnsi="Times New Roman" w:cs="Times New Roman" w:eastAsia="Times New Roman"/>
                <w:b w:val="0"/>
                <w:i w:val="0"/>
                <w:sz w:val="18"/>
                <w:rtl/>
              </w:rPr>
              <w:t>99.0٪</w:t>
            </w:r>
          </w:p>
        </w:tc>
      </w:tr>
      <w:tr>
        <w:tc>
          <w:tcPr>
            <w:tcW w:type="dxa" w:w="4677"/>
          </w:tcPr>
          <w:p>
            <w:pPr>
              <w:bidi/>
              <w:spacing w:after="20" w:before="20" w:line="240" w:lineRule="auto"/>
              <w:ind w:firstLine="0"/>
              <w:jc w:val="right"/>
            </w:pPr>
            <w:r/>
            <w:r>
              <w:rPr>
                <w:rFonts w:ascii="Times New Roman" w:hAnsi="Times New Roman" w:cs="Times New Roman" w:eastAsia="Times New Roman"/>
                <w:b w:val="0"/>
                <w:i w:val="0"/>
                <w:sz w:val="18"/>
                <w:rtl/>
              </w:rPr>
              <w:t>Enterprise</w:t>
            </w:r>
          </w:p>
        </w:tc>
        <w:tc>
          <w:tcPr>
            <w:tcW w:type="dxa" w:w="4677"/>
          </w:tcPr>
          <w:p>
            <w:pPr>
              <w:bidi/>
              <w:spacing w:after="20" w:before="20" w:line="240" w:lineRule="auto"/>
              <w:ind w:firstLine="0"/>
              <w:jc w:val="center"/>
            </w:pPr>
            <w:r/>
            <w:r>
              <w:rPr>
                <w:rFonts w:ascii="Times New Roman" w:hAnsi="Times New Roman" w:cs="Times New Roman" w:eastAsia="Times New Roman"/>
                <w:b w:val="0"/>
                <w:i w:val="0"/>
                <w:sz w:val="18"/>
                <w:rtl/>
              </w:rPr>
              <w:t>99.5٪</w:t>
            </w:r>
          </w:p>
        </w:tc>
      </w:tr>
    </w:tbl>
    <w:p>
      <w:pPr>
        <w:spacing w:after="80"/>
      </w:pPr>
    </w:p>
    <w:p>
      <w:r>
        <w:rPr>
          <w:rFonts w:ascii="Times New Roman" w:hAnsi="Times New Roman" w:cs="Times New Roman" w:eastAsia="Times New Roman"/>
          <w:b/>
          <w:i w:val="0"/>
          <w:sz w:val="22"/>
          <w:rtl/>
        </w:rPr>
        <w:t>الحساب:</w:t>
      </w:r>
      <w:r>
        <w:rPr>
          <w:rFonts w:ascii="Times New Roman" w:hAnsi="Times New Roman" w:cs="Times New Roman" w:eastAsia="Times New Roman"/>
          <w:b w:val="0"/>
          <w:i w:val="0"/>
          <w:sz w:val="22"/>
          <w:rtl/>
        </w:rPr>
        <w:t xml:space="preserve"> التوافر = (إجمالي دقائق الشهر − دقائق عدم التوافر) / إجمالي دقائق الشهر × 100٪.</w:t>
      </w:r>
    </w:p>
    <w:p>
      <w:r>
        <w:rPr>
          <w:rFonts w:ascii="Times New Roman" w:hAnsi="Times New Roman" w:cs="Times New Roman" w:eastAsia="Times New Roman"/>
          <w:b/>
          <w:i w:val="0"/>
          <w:sz w:val="22"/>
          <w:rtl/>
        </w:rPr>
        <w:t>يُستبعَد من زمن عدم التوافر ما ينشأ عن:</w:t>
      </w:r>
    </w:p>
    <w:p>
      <w:pPr>
        <w:spacing w:after="40"/>
        <w:ind w:right="709" w:hanging="283"/>
      </w:pPr>
      <w:r>
        <w:rPr>
          <w:rFonts w:ascii="Times New Roman" w:hAnsi="Times New Roman" w:cs="Times New Roman" w:eastAsia="Times New Roman"/>
          <w:b w:val="0"/>
          <w:i w:val="0"/>
          <w:sz w:val="22"/>
          <w:rtl/>
        </w:rPr>
        <w:t>— صيانة مخطَّطة مُبلَّغ عنها قبل خمسة (5) أيام عمل على الأقل (حتى 8 ساعات في الشهر التقويمي، عادةً خارج ساعات العمل)؛</w:t>
      </w:r>
    </w:p>
    <w:p>
      <w:pPr>
        <w:spacing w:after="40"/>
        <w:ind w:right="709" w:hanging="283"/>
      </w:pPr>
      <w:r>
        <w:rPr>
          <w:rFonts w:ascii="Times New Roman" w:hAnsi="Times New Roman" w:cs="Times New Roman" w:eastAsia="Times New Roman"/>
          <w:b w:val="0"/>
          <w:i w:val="0"/>
          <w:sz w:val="22"/>
          <w:rtl/>
        </w:rPr>
        <w:t>— صيانة طارئة لمعالجة ثغرات حرِجة أمنيًا؛</w:t>
      </w:r>
    </w:p>
    <w:p>
      <w:pPr>
        <w:spacing w:after="40"/>
        <w:ind w:right="709" w:hanging="283"/>
      </w:pPr>
      <w:r>
        <w:rPr>
          <w:rFonts w:ascii="Times New Roman" w:hAnsi="Times New Roman" w:cs="Times New Roman" w:eastAsia="Times New Roman"/>
          <w:b w:val="0"/>
          <w:i w:val="0"/>
          <w:sz w:val="22"/>
          <w:rtl/>
        </w:rPr>
        <w:t>— القوة القاهرة (البند C.10.6)؛</w:t>
      </w:r>
    </w:p>
    <w:p>
      <w:pPr>
        <w:spacing w:after="40"/>
        <w:ind w:right="709" w:hanging="283"/>
      </w:pPr>
      <w:r>
        <w:rPr>
          <w:rFonts w:ascii="Times New Roman" w:hAnsi="Times New Roman" w:cs="Times New Roman" w:eastAsia="Times New Roman"/>
          <w:b w:val="0"/>
          <w:i w:val="0"/>
          <w:sz w:val="22"/>
          <w:rtl/>
        </w:rPr>
        <w:t>— أفعال الطرف المقابل أو امتناعاته، بما فيها سوء الاستخدام وتجاوز الحدود الكمية وسوء تكوين معدّاته أو شبكاته؛</w:t>
      </w:r>
    </w:p>
    <w:p>
      <w:pPr>
        <w:spacing w:after="40"/>
        <w:ind w:right="709" w:hanging="283"/>
      </w:pPr>
      <w:r>
        <w:rPr>
          <w:rFonts w:ascii="Times New Roman" w:hAnsi="Times New Roman" w:cs="Times New Roman" w:eastAsia="Times New Roman"/>
          <w:b w:val="0"/>
          <w:i w:val="0"/>
          <w:sz w:val="22"/>
          <w:rtl/>
        </w:rPr>
        <w:t>— عدم توافر الاتصال أو المعدّات أو البنية التحتية الخارجة عن سيطرة المرخِّص؛</w:t>
      </w:r>
    </w:p>
    <w:p>
      <w:pPr>
        <w:spacing w:after="40"/>
        <w:ind w:right="709" w:hanging="283"/>
      </w:pPr>
      <w:r>
        <w:rPr>
          <w:rFonts w:ascii="Times New Roman" w:hAnsi="Times New Roman" w:cs="Times New Roman" w:eastAsia="Times New Roman"/>
          <w:b w:val="0"/>
          <w:i w:val="0"/>
          <w:sz w:val="22"/>
          <w:rtl/>
        </w:rPr>
        <w:t>— التعليق بموجب البند C.1.9.</w:t>
      </w:r>
    </w:p>
    <w:p>
      <w:r>
        <w:rPr>
          <w:rFonts w:ascii="Times New Roman" w:hAnsi="Times New Roman" w:cs="Times New Roman" w:eastAsia="Times New Roman"/>
          <w:b/>
          <w:i w:val="0"/>
          <w:sz w:val="22"/>
          <w:rtl/>
        </w:rPr>
        <w:t>أرصدة الخدمة</w:t>
      </w:r>
      <w:r>
        <w:rPr>
          <w:rFonts w:ascii="Times New Roman" w:hAnsi="Times New Roman" w:cs="Times New Roman" w:eastAsia="Times New Roman"/>
          <w:b w:val="0"/>
          <w:i w:val="0"/>
          <w:sz w:val="22"/>
          <w:rtl/>
        </w:rPr>
        <w:t>، المُطالَب بها كتابيًا خلال ثلاثين (30) يومًا من نهاية الشهر المتأثّر، تُمنح على هيئة تمديد لمدة الترخيص:</w:t>
      </w:r>
    </w:p>
    <w:tbl>
      <w:tblPr>
        <w:tblStyle w:val="TableGrid"/>
        <w:tblW w:type="auto" w:w="0"/>
        <w:jc w:val="center"/>
        <w:tblLayout w:type="autofit"/>
        <w:tblLook w:firstColumn="1" w:firstRow="1" w:lastColumn="0" w:lastRow="0" w:noHBand="0" w:noVBand="1" w:val="04A0"/>
        <w:bidiVisual/>
      </w:tblPr>
      <w:tblGrid>
        <w:gridCol w:w="4677"/>
        <w:gridCol w:w="4677"/>
      </w:tblGrid>
      <w:tr>
        <w:trPr>
          <w:tblHeader w:val="true"/>
        </w:trPr>
        <w:tc>
          <w:tcPr>
            <w:tcW w:type="dxa" w:w="4677"/>
            <w:shd w:val="clear" w:fill="EDEDED"/>
          </w:tcPr>
          <w:p>
            <w:pPr>
              <w:bidi/>
              <w:spacing w:after="20" w:before="20" w:line="240" w:lineRule="auto"/>
              <w:ind w:firstLine="0"/>
              <w:jc w:val="center"/>
            </w:pPr>
            <w:r/>
            <w:r>
              <w:rPr>
                <w:rFonts w:ascii="Times New Roman" w:hAnsi="Times New Roman" w:cs="Times New Roman" w:eastAsia="Times New Roman"/>
                <w:b/>
                <w:i w:val="0"/>
                <w:sz w:val="18"/>
                <w:rtl/>
              </w:rPr>
              <w:t>التوافر الفعلي</w:t>
            </w:r>
          </w:p>
        </w:tc>
        <w:tc>
          <w:tcPr>
            <w:tcW w:type="dxa" w:w="4677"/>
            <w:shd w:val="clear" w:fill="EDEDED"/>
          </w:tcPr>
          <w:p>
            <w:pPr>
              <w:bidi/>
              <w:spacing w:after="20" w:before="20" w:line="240" w:lineRule="auto"/>
              <w:ind w:firstLine="0"/>
              <w:jc w:val="center"/>
            </w:pPr>
            <w:r/>
            <w:r>
              <w:rPr>
                <w:rFonts w:ascii="Times New Roman" w:hAnsi="Times New Roman" w:cs="Times New Roman" w:eastAsia="Times New Roman"/>
                <w:b/>
                <w:i w:val="0"/>
                <w:sz w:val="18"/>
                <w:rtl/>
              </w:rPr>
              <w:t>التمديد</w:t>
            </w:r>
          </w:p>
        </w:tc>
      </w:tr>
      <w:tr>
        <w:tc>
          <w:tcPr>
            <w:tcW w:type="dxa" w:w="4677"/>
          </w:tcPr>
          <w:p>
            <w:pPr>
              <w:bidi/>
              <w:spacing w:after="20" w:before="20" w:line="240" w:lineRule="auto"/>
              <w:ind w:firstLine="0"/>
              <w:jc w:val="right"/>
            </w:pPr>
            <w:r/>
            <w:r>
              <w:rPr>
                <w:rFonts w:ascii="Times New Roman" w:hAnsi="Times New Roman" w:cs="Times New Roman" w:eastAsia="Times New Roman"/>
                <w:b w:val="0"/>
                <w:i w:val="0"/>
                <w:sz w:val="18"/>
                <w:rtl/>
              </w:rPr>
              <w:t>دون الالتزام لكن ≥ 98٪</w:t>
            </w:r>
          </w:p>
        </w:tc>
        <w:tc>
          <w:tcPr>
            <w:tcW w:type="dxa" w:w="4677"/>
          </w:tcPr>
          <w:p>
            <w:pPr>
              <w:bidi/>
              <w:spacing w:after="20" w:before="20" w:line="240" w:lineRule="auto"/>
              <w:ind w:firstLine="0"/>
              <w:jc w:val="center"/>
            </w:pPr>
            <w:r/>
            <w:r>
              <w:rPr>
                <w:rFonts w:ascii="Times New Roman" w:hAnsi="Times New Roman" w:cs="Times New Roman" w:eastAsia="Times New Roman"/>
                <w:b w:val="0"/>
                <w:i w:val="0"/>
                <w:sz w:val="18"/>
                <w:rtl/>
              </w:rPr>
              <w:t>5٪ من الشهر المتأثّر</w:t>
            </w:r>
          </w:p>
        </w:tc>
      </w:tr>
      <w:tr>
        <w:tc>
          <w:tcPr>
            <w:tcW w:type="dxa" w:w="4677"/>
          </w:tcPr>
          <w:p>
            <w:pPr>
              <w:bidi/>
              <w:spacing w:after="20" w:before="20" w:line="240" w:lineRule="auto"/>
              <w:ind w:firstLine="0"/>
              <w:jc w:val="right"/>
            </w:pPr>
            <w:r/>
            <w:r>
              <w:rPr>
                <w:rFonts w:ascii="Times New Roman" w:hAnsi="Times New Roman" w:cs="Times New Roman" w:eastAsia="Times New Roman"/>
                <w:b w:val="0"/>
                <w:i w:val="0"/>
                <w:sz w:val="18"/>
                <w:rtl/>
              </w:rPr>
              <w:t>≥ 95٪ و&lt; 98٪</w:t>
            </w:r>
          </w:p>
        </w:tc>
        <w:tc>
          <w:tcPr>
            <w:tcW w:type="dxa" w:w="4677"/>
          </w:tcPr>
          <w:p>
            <w:pPr>
              <w:bidi/>
              <w:spacing w:after="20" w:before="20" w:line="240" w:lineRule="auto"/>
              <w:ind w:firstLine="0"/>
              <w:jc w:val="center"/>
            </w:pPr>
            <w:r/>
            <w:r>
              <w:rPr>
                <w:rFonts w:ascii="Times New Roman" w:hAnsi="Times New Roman" w:cs="Times New Roman" w:eastAsia="Times New Roman"/>
                <w:b w:val="0"/>
                <w:i w:val="0"/>
                <w:sz w:val="18"/>
                <w:rtl/>
              </w:rPr>
              <w:t>15٪ من الشهر المتأثّر</w:t>
            </w:r>
          </w:p>
        </w:tc>
      </w:tr>
      <w:tr>
        <w:tc>
          <w:tcPr>
            <w:tcW w:type="dxa" w:w="4677"/>
          </w:tcPr>
          <w:p>
            <w:pPr>
              <w:bidi/>
              <w:spacing w:after="20" w:before="20" w:line="240" w:lineRule="auto"/>
              <w:ind w:firstLine="0"/>
              <w:jc w:val="right"/>
            </w:pPr>
            <w:r/>
            <w:r>
              <w:rPr>
                <w:rFonts w:ascii="Times New Roman" w:hAnsi="Times New Roman" w:cs="Times New Roman" w:eastAsia="Times New Roman"/>
                <w:b w:val="0"/>
                <w:i w:val="0"/>
                <w:sz w:val="18"/>
                <w:rtl/>
              </w:rPr>
              <w:t>&lt; 95٪</w:t>
            </w:r>
          </w:p>
        </w:tc>
        <w:tc>
          <w:tcPr>
            <w:tcW w:type="dxa" w:w="4677"/>
          </w:tcPr>
          <w:p>
            <w:pPr>
              <w:bidi/>
              <w:spacing w:after="20" w:before="20" w:line="240" w:lineRule="auto"/>
              <w:ind w:firstLine="0"/>
              <w:jc w:val="center"/>
            </w:pPr>
            <w:r/>
            <w:r>
              <w:rPr>
                <w:rFonts w:ascii="Times New Roman" w:hAnsi="Times New Roman" w:cs="Times New Roman" w:eastAsia="Times New Roman"/>
                <w:b w:val="0"/>
                <w:i w:val="0"/>
                <w:sz w:val="18"/>
                <w:rtl/>
              </w:rPr>
              <w:t>30٪ من الشهر المتأثّر</w:t>
            </w:r>
          </w:p>
        </w:tc>
      </w:tr>
    </w:tbl>
    <w:p>
      <w:pPr>
        <w:spacing w:after="80"/>
      </w:pPr>
    </w:p>
    <w:p>
      <w:r>
        <w:rPr>
          <w:rFonts w:ascii="Times New Roman" w:hAnsi="Times New Roman" w:cs="Times New Roman" w:eastAsia="Times New Roman"/>
          <w:b w:val="0"/>
          <w:i w:val="0"/>
          <w:sz w:val="22"/>
          <w:rtl/>
        </w:rPr>
        <w:t>يقتصر إجمالي الأرصدة في أي سنة تقويمية على 10٪ من المقابل السنوي. والأرصدة هي سبيل الانتصاف الوحيد والحصري عن عدم التوافر (البند A.5.4).</w:t>
      </w:r>
    </w:p>
    <w:p>
      <w:pPr>
        <w:pStyle w:val="Heading2"/>
        <w:keepNext/>
      </w:pPr>
      <w:r>
        <w:rPr>
          <w:rFonts w:ascii="Times New Roman" w:hAnsi="Times New Roman" w:cs="Times New Roman" w:eastAsia="Times New Roman"/>
          <w:b/>
          <w:i w:val="0"/>
          <w:sz w:val="23"/>
          <w:rtl/>
        </w:rPr>
        <w:t>3.5. النسخ الاحتياطي (السحابة المُدارة)</w:t>
      </w:r>
    </w:p>
    <w:tbl>
      <w:tblPr>
        <w:tblStyle w:val="TableGrid"/>
        <w:tblW w:type="auto" w:w="0"/>
        <w:jc w:val="center"/>
        <w:tblLayout w:type="autofit"/>
        <w:tblLook w:firstColumn="1" w:firstRow="1" w:lastColumn="0" w:lastRow="0" w:noHBand="0" w:noVBand="1" w:val="04A0"/>
        <w:bidiVisual/>
      </w:tblPr>
      <w:tblGrid>
        <w:gridCol w:w="4677"/>
        <w:gridCol w:w="4677"/>
      </w:tblGrid>
      <w:tr>
        <w:trPr>
          <w:tblHeader w:val="true"/>
        </w:trPr>
        <w:tc>
          <w:tcPr>
            <w:tcW w:type="dxa" w:w="4677"/>
            <w:shd w:val="clear" w:fill="EDEDED"/>
          </w:tcPr>
          <w:p>
            <w:pPr>
              <w:bidi/>
              <w:spacing w:after="20" w:before="20" w:line="240" w:lineRule="auto"/>
              <w:ind w:firstLine="0"/>
              <w:jc w:val="center"/>
            </w:pPr>
            <w:r/>
            <w:r>
              <w:rPr>
                <w:rFonts w:ascii="Times New Roman" w:hAnsi="Times New Roman" w:cs="Times New Roman" w:eastAsia="Times New Roman"/>
                <w:b/>
                <w:i w:val="0"/>
                <w:sz w:val="18"/>
                <w:rtl/>
              </w:rPr>
              <w:t>المعيار</w:t>
            </w:r>
          </w:p>
        </w:tc>
        <w:tc>
          <w:tcPr>
            <w:tcW w:type="dxa" w:w="4677"/>
            <w:shd w:val="clear" w:fill="EDEDED"/>
          </w:tcPr>
          <w:p>
            <w:pPr>
              <w:bidi/>
              <w:spacing w:after="20" w:before="20" w:line="240" w:lineRule="auto"/>
              <w:ind w:firstLine="0"/>
              <w:jc w:val="center"/>
            </w:pPr>
            <w:r/>
            <w:r>
              <w:rPr>
                <w:rFonts w:ascii="Times New Roman" w:hAnsi="Times New Roman" w:cs="Times New Roman" w:eastAsia="Times New Roman"/>
                <w:b/>
                <w:i w:val="0"/>
                <w:sz w:val="18"/>
                <w:rtl/>
              </w:rPr>
              <w:t>القيمة</w:t>
            </w:r>
          </w:p>
        </w:tc>
      </w:tr>
      <w:tr>
        <w:tc>
          <w:tcPr>
            <w:tcW w:type="dxa" w:w="4677"/>
          </w:tcPr>
          <w:p>
            <w:pPr>
              <w:bidi/>
              <w:spacing w:after="20" w:before="20" w:line="240" w:lineRule="auto"/>
              <w:ind w:firstLine="0"/>
              <w:jc w:val="right"/>
            </w:pPr>
            <w:r/>
            <w:r>
              <w:rPr>
                <w:rFonts w:ascii="Times New Roman" w:hAnsi="Times New Roman" w:cs="Times New Roman" w:eastAsia="Times New Roman"/>
                <w:b w:val="0"/>
                <w:i w:val="0"/>
                <w:sz w:val="18"/>
                <w:rtl/>
              </w:rPr>
              <w:t>تواتر النسخ الاحتياطي</w:t>
            </w:r>
          </w:p>
        </w:tc>
        <w:tc>
          <w:tcPr>
            <w:tcW w:type="dxa" w:w="4677"/>
          </w:tcPr>
          <w:p>
            <w:pPr>
              <w:bidi/>
              <w:spacing w:after="20" w:before="20" w:line="240" w:lineRule="auto"/>
              <w:ind w:firstLine="0"/>
              <w:jc w:val="center"/>
            </w:pPr>
            <w:r/>
            <w:r>
              <w:rPr>
                <w:rFonts w:ascii="Times New Roman" w:hAnsi="Times New Roman" w:cs="Times New Roman" w:eastAsia="Times New Roman"/>
                <w:b w:val="0"/>
                <w:i w:val="0"/>
                <w:sz w:val="18"/>
                <w:rtl/>
              </w:rPr>
              <w:t>يوميًا</w:t>
            </w:r>
          </w:p>
        </w:tc>
      </w:tr>
      <w:tr>
        <w:tc>
          <w:tcPr>
            <w:tcW w:type="dxa" w:w="4677"/>
          </w:tcPr>
          <w:p>
            <w:pPr>
              <w:bidi/>
              <w:spacing w:after="20" w:before="20" w:line="240" w:lineRule="auto"/>
              <w:ind w:firstLine="0"/>
              <w:jc w:val="right"/>
            </w:pPr>
            <w:r/>
            <w:r>
              <w:rPr>
                <w:rFonts w:ascii="Times New Roman" w:hAnsi="Times New Roman" w:cs="Times New Roman" w:eastAsia="Times New Roman"/>
                <w:b w:val="0"/>
                <w:i w:val="0"/>
                <w:sz w:val="18"/>
                <w:rtl/>
              </w:rPr>
              <w:t>مدة الاحتفاظ بالنسخ</w:t>
            </w:r>
          </w:p>
        </w:tc>
        <w:tc>
          <w:tcPr>
            <w:tcW w:type="dxa" w:w="4677"/>
          </w:tcPr>
          <w:p>
            <w:pPr>
              <w:bidi/>
              <w:spacing w:after="20" w:before="20" w:line="240" w:lineRule="auto"/>
              <w:ind w:firstLine="0"/>
              <w:jc w:val="center"/>
            </w:pPr>
            <w:r/>
            <w:r>
              <w:rPr>
                <w:rFonts w:ascii="Times New Roman" w:hAnsi="Times New Roman" w:cs="Times New Roman" w:eastAsia="Times New Roman"/>
                <w:b w:val="0"/>
                <w:i w:val="0"/>
                <w:sz w:val="18"/>
                <w:rtl/>
              </w:rPr>
              <w:t>30 يومًا</w:t>
            </w:r>
          </w:p>
        </w:tc>
      </w:tr>
      <w:tr>
        <w:tc>
          <w:tcPr>
            <w:tcW w:type="dxa" w:w="4677"/>
          </w:tcPr>
          <w:p>
            <w:pPr>
              <w:bidi/>
              <w:spacing w:after="20" w:before="20" w:line="240" w:lineRule="auto"/>
              <w:ind w:firstLine="0"/>
              <w:jc w:val="right"/>
            </w:pPr>
            <w:r/>
            <w:r>
              <w:rPr>
                <w:rFonts w:ascii="Times New Roman" w:hAnsi="Times New Roman" w:cs="Times New Roman" w:eastAsia="Times New Roman"/>
                <w:b w:val="0"/>
                <w:i w:val="0"/>
                <w:sz w:val="18"/>
                <w:rtl/>
              </w:rPr>
              <w:t>هدف نقطة الاستعادة (RPO)</w:t>
            </w:r>
          </w:p>
        </w:tc>
        <w:tc>
          <w:tcPr>
            <w:tcW w:type="dxa" w:w="4677"/>
          </w:tcPr>
          <w:p>
            <w:pPr>
              <w:bidi/>
              <w:spacing w:after="20" w:before="20" w:line="240" w:lineRule="auto"/>
              <w:ind w:firstLine="0"/>
              <w:jc w:val="center"/>
            </w:pPr>
            <w:r/>
            <w:r>
              <w:rPr>
                <w:rFonts w:ascii="Times New Roman" w:hAnsi="Times New Roman" w:cs="Times New Roman" w:eastAsia="Times New Roman"/>
                <w:b w:val="0"/>
                <w:i w:val="0"/>
                <w:sz w:val="18"/>
                <w:rtl/>
              </w:rPr>
              <w:t>24 ساعة</w:t>
            </w:r>
          </w:p>
        </w:tc>
      </w:tr>
      <w:tr>
        <w:tc>
          <w:tcPr>
            <w:tcW w:type="dxa" w:w="4677"/>
          </w:tcPr>
          <w:p>
            <w:pPr>
              <w:bidi/>
              <w:spacing w:after="20" w:before="20" w:line="240" w:lineRule="auto"/>
              <w:ind w:firstLine="0"/>
              <w:jc w:val="right"/>
            </w:pPr>
            <w:r/>
            <w:r>
              <w:rPr>
                <w:rFonts w:ascii="Times New Roman" w:hAnsi="Times New Roman" w:cs="Times New Roman" w:eastAsia="Times New Roman"/>
                <w:b w:val="0"/>
                <w:i w:val="0"/>
                <w:sz w:val="18"/>
                <w:rtl/>
              </w:rPr>
              <w:t>هدف زمن الاستعادة (RTO)</w:t>
            </w:r>
          </w:p>
        </w:tc>
        <w:tc>
          <w:tcPr>
            <w:tcW w:type="dxa" w:w="4677"/>
          </w:tcPr>
          <w:p>
            <w:pPr>
              <w:bidi/>
              <w:spacing w:after="20" w:before="20" w:line="240" w:lineRule="auto"/>
              <w:ind w:firstLine="0"/>
              <w:jc w:val="center"/>
            </w:pPr>
            <w:r/>
            <w:r>
              <w:rPr>
                <w:rFonts w:ascii="Times New Roman" w:hAnsi="Times New Roman" w:cs="Times New Roman" w:eastAsia="Times New Roman"/>
                <w:b w:val="0"/>
                <w:i w:val="0"/>
                <w:sz w:val="18"/>
                <w:rtl/>
              </w:rPr>
              <w:t>8 ساعات (Enterprise)، 24 ساعة (Professional)</w:t>
            </w:r>
          </w:p>
        </w:tc>
      </w:tr>
    </w:tbl>
    <w:p>
      <w:pPr>
        <w:spacing w:after="80"/>
      </w:pPr>
    </w:p>
    <w:p>
      <w:r>
        <w:rPr>
          <w:rFonts w:ascii="Times New Roman" w:hAnsi="Times New Roman" w:cs="Times New Roman" w:eastAsia="Times New Roman"/>
          <w:b w:val="0"/>
          <w:i w:val="0"/>
          <w:sz w:val="22"/>
          <w:rtl/>
        </w:rPr>
        <w:t>في نموذج On-Premise، يقع النسخ الاحتياطي على الطرف المقابل.</w:t>
      </w:r>
    </w:p>
    <w:p>
      <w:pPr>
        <w:pStyle w:val="Heading2"/>
        <w:keepNext/>
      </w:pPr>
      <w:r>
        <w:rPr>
          <w:rFonts w:ascii="Times New Roman" w:hAnsi="Times New Roman" w:cs="Times New Roman" w:eastAsia="Times New Roman"/>
          <w:b/>
          <w:i w:val="0"/>
          <w:sz w:val="23"/>
          <w:rtl/>
        </w:rPr>
        <w:t>3.6. تصدير محتوى العميل (البند C.11.3)</w:t>
      </w:r>
    </w:p>
    <w:p>
      <w:r>
        <w:rPr>
          <w:rFonts w:ascii="Times New Roman" w:hAnsi="Times New Roman" w:cs="Times New Roman" w:eastAsia="Times New Roman"/>
          <w:b w:val="0"/>
          <w:i w:val="0"/>
          <w:sz w:val="22"/>
          <w:rtl/>
        </w:rPr>
        <w:t>يُقدَّم خلال خمسة عشر (15) يوم عمل من الطلب الكتابي:</w:t>
      </w:r>
    </w:p>
    <w:tbl>
      <w:tblPr>
        <w:tblStyle w:val="TableGrid"/>
        <w:tblW w:type="auto" w:w="0"/>
        <w:jc w:val="center"/>
        <w:tblLayout w:type="autofit"/>
        <w:tblLook w:firstColumn="1" w:firstRow="1" w:lastColumn="0" w:lastRow="0" w:noHBand="0" w:noVBand="1" w:val="04A0"/>
        <w:bidiVisual/>
      </w:tblPr>
      <w:tblGrid>
        <w:gridCol w:w="4677"/>
        <w:gridCol w:w="4677"/>
      </w:tblGrid>
      <w:tr>
        <w:trPr>
          <w:tblHeader w:val="true"/>
        </w:trPr>
        <w:tc>
          <w:tcPr>
            <w:tcW w:type="dxa" w:w="4677"/>
            <w:shd w:val="clear" w:fill="EDEDED"/>
          </w:tcPr>
          <w:p>
            <w:pPr>
              <w:bidi/>
              <w:spacing w:after="20" w:before="20" w:line="240" w:lineRule="auto"/>
              <w:ind w:firstLine="0"/>
              <w:jc w:val="center"/>
            </w:pPr>
            <w:r/>
            <w:r>
              <w:rPr>
                <w:rFonts w:ascii="Times New Roman" w:hAnsi="Times New Roman" w:cs="Times New Roman" w:eastAsia="Times New Roman"/>
                <w:b/>
                <w:i w:val="0"/>
                <w:sz w:val="18"/>
                <w:rtl/>
              </w:rPr>
              <w:t>فئة البيانات</w:t>
            </w:r>
          </w:p>
        </w:tc>
        <w:tc>
          <w:tcPr>
            <w:tcW w:type="dxa" w:w="4677"/>
            <w:shd w:val="clear" w:fill="EDEDED"/>
          </w:tcPr>
          <w:p>
            <w:pPr>
              <w:bidi/>
              <w:spacing w:after="20" w:before="20" w:line="240" w:lineRule="auto"/>
              <w:ind w:firstLine="0"/>
              <w:jc w:val="center"/>
            </w:pPr>
            <w:r/>
            <w:r>
              <w:rPr>
                <w:rFonts w:ascii="Times New Roman" w:hAnsi="Times New Roman" w:cs="Times New Roman" w:eastAsia="Times New Roman"/>
                <w:b/>
                <w:i w:val="0"/>
                <w:sz w:val="18"/>
                <w:rtl/>
              </w:rPr>
              <w:t>الصيغة</w:t>
            </w:r>
          </w:p>
        </w:tc>
      </w:tr>
      <w:tr>
        <w:tc>
          <w:tcPr>
            <w:tcW w:type="dxa" w:w="4677"/>
          </w:tcPr>
          <w:p>
            <w:pPr>
              <w:bidi/>
              <w:spacing w:after="20" w:before="20" w:line="240" w:lineRule="auto"/>
              <w:ind w:firstLine="0"/>
              <w:jc w:val="right"/>
            </w:pPr>
            <w:r/>
            <w:r>
              <w:rPr>
                <w:rFonts w:ascii="Times New Roman" w:hAnsi="Times New Roman" w:cs="Times New Roman" w:eastAsia="Times New Roman"/>
                <w:b w:val="0"/>
                <w:i w:val="0"/>
                <w:sz w:val="18"/>
                <w:rtl/>
              </w:rPr>
              <w:t>الإجراءات والدورات التدريبية والسيناريوهات</w:t>
            </w:r>
          </w:p>
        </w:tc>
        <w:tc>
          <w:tcPr>
            <w:tcW w:type="dxa" w:w="4677"/>
          </w:tcPr>
          <w:p>
            <w:pPr>
              <w:bidi/>
              <w:spacing w:after="20" w:before="20" w:line="240" w:lineRule="auto"/>
              <w:ind w:firstLine="0"/>
              <w:jc w:val="center"/>
            </w:pPr>
            <w:r/>
            <w:r>
              <w:rPr>
                <w:rFonts w:ascii="Times New Roman" w:hAnsi="Times New Roman" w:cs="Times New Roman" w:eastAsia="Times New Roman"/>
                <w:b w:val="0"/>
                <w:i w:val="0"/>
                <w:sz w:val="18"/>
                <w:rtl/>
              </w:rPr>
              <w:t>JSON مُهيكَل</w:t>
            </w:r>
          </w:p>
        </w:tc>
      </w:tr>
      <w:tr>
        <w:tc>
          <w:tcPr>
            <w:tcW w:type="dxa" w:w="4677"/>
          </w:tcPr>
          <w:p>
            <w:pPr>
              <w:bidi/>
              <w:spacing w:after="20" w:before="20" w:line="240" w:lineRule="auto"/>
              <w:ind w:firstLine="0"/>
              <w:jc w:val="right"/>
            </w:pPr>
            <w:r/>
            <w:r>
              <w:rPr>
                <w:rFonts w:ascii="Times New Roman" w:hAnsi="Times New Roman" w:cs="Times New Roman" w:eastAsia="Times New Roman"/>
                <w:b w:val="0"/>
                <w:i w:val="0"/>
                <w:sz w:val="18"/>
                <w:rtl/>
              </w:rPr>
              <w:t>الوثائق والوسائط المرفوعة</w:t>
            </w:r>
          </w:p>
        </w:tc>
        <w:tc>
          <w:tcPr>
            <w:tcW w:type="dxa" w:w="4677"/>
          </w:tcPr>
          <w:p>
            <w:pPr>
              <w:bidi/>
              <w:spacing w:after="20" w:before="20" w:line="240" w:lineRule="auto"/>
              <w:ind w:firstLine="0"/>
              <w:jc w:val="center"/>
            </w:pPr>
            <w:r/>
            <w:r>
              <w:rPr>
                <w:rFonts w:ascii="Times New Roman" w:hAnsi="Times New Roman" w:cs="Times New Roman" w:eastAsia="Times New Roman"/>
                <w:b w:val="0"/>
                <w:i w:val="0"/>
                <w:sz w:val="18"/>
                <w:rtl/>
              </w:rPr>
              <w:t>صيغ الرفع الأصلية</w:t>
            </w:r>
          </w:p>
        </w:tc>
      </w:tr>
      <w:tr>
        <w:tc>
          <w:tcPr>
            <w:tcW w:type="dxa" w:w="4677"/>
          </w:tcPr>
          <w:p>
            <w:pPr>
              <w:bidi/>
              <w:spacing w:after="20" w:before="20" w:line="240" w:lineRule="auto"/>
              <w:ind w:firstLine="0"/>
              <w:jc w:val="right"/>
            </w:pPr>
            <w:r/>
            <w:r>
              <w:rPr>
                <w:rFonts w:ascii="Times New Roman" w:hAnsi="Times New Roman" w:cs="Times New Roman" w:eastAsia="Times New Roman"/>
                <w:b w:val="0"/>
                <w:i w:val="0"/>
                <w:sz w:val="18"/>
                <w:rtl/>
              </w:rPr>
              <w:t>الخرائط المكانية ومخرجات المسح</w:t>
            </w:r>
          </w:p>
        </w:tc>
        <w:tc>
          <w:tcPr>
            <w:tcW w:type="dxa" w:w="4677"/>
          </w:tcPr>
          <w:p>
            <w:pPr>
              <w:bidi/>
              <w:spacing w:after="20" w:before="20" w:line="240" w:lineRule="auto"/>
              <w:ind w:firstLine="0"/>
              <w:jc w:val="center"/>
            </w:pPr>
            <w:r/>
            <w:r>
              <w:rPr>
                <w:rFonts w:ascii="Times New Roman" w:hAnsi="Times New Roman" w:cs="Times New Roman" w:eastAsia="Times New Roman"/>
                <w:b w:val="0"/>
                <w:i w:val="0"/>
                <w:sz w:val="18"/>
                <w:rtl/>
              </w:rPr>
              <w:t>سُحُب النقاط — PLY؛ الهندسة ثلاثية الأبعاد — glTF 2.0؛ بيانات تحديد المواقع الوصفية — صيغة المرخِّص الخاصة، مرفَقة بوصف بنيتها</w:t>
            </w:r>
          </w:p>
        </w:tc>
      </w:tr>
      <w:tr>
        <w:tc>
          <w:tcPr>
            <w:tcW w:type="dxa" w:w="4677"/>
          </w:tcPr>
          <w:p>
            <w:pPr>
              <w:bidi/>
              <w:spacing w:after="20" w:before="20" w:line="240" w:lineRule="auto"/>
              <w:ind w:firstLine="0"/>
              <w:jc w:val="right"/>
            </w:pPr>
            <w:r/>
            <w:r>
              <w:rPr>
                <w:rFonts w:ascii="Times New Roman" w:hAnsi="Times New Roman" w:cs="Times New Roman" w:eastAsia="Times New Roman"/>
                <w:b w:val="0"/>
                <w:i w:val="0"/>
                <w:sz w:val="18"/>
                <w:rtl/>
              </w:rPr>
              <w:t>نشاط المستخدمين وإتمام الدورات والتقارير</w:t>
            </w:r>
          </w:p>
        </w:tc>
        <w:tc>
          <w:tcPr>
            <w:tcW w:type="dxa" w:w="4677"/>
          </w:tcPr>
          <w:p>
            <w:pPr>
              <w:bidi/>
              <w:spacing w:after="20" w:before="20" w:line="240" w:lineRule="auto"/>
              <w:ind w:firstLine="0"/>
              <w:jc w:val="center"/>
            </w:pPr>
            <w:r/>
            <w:r>
              <w:rPr>
                <w:rFonts w:ascii="Times New Roman" w:hAnsi="Times New Roman" w:cs="Times New Roman" w:eastAsia="Times New Roman"/>
                <w:b w:val="0"/>
                <w:i w:val="0"/>
                <w:sz w:val="18"/>
                <w:rtl/>
              </w:rPr>
              <w:t>CSV</w:t>
            </w:r>
          </w:p>
        </w:tc>
      </w:tr>
      <w:tr>
        <w:tc>
          <w:tcPr>
            <w:tcW w:type="dxa" w:w="4677"/>
          </w:tcPr>
          <w:p>
            <w:pPr>
              <w:bidi/>
              <w:spacing w:after="20" w:before="20" w:line="240" w:lineRule="auto"/>
              <w:ind w:firstLine="0"/>
              <w:jc w:val="right"/>
            </w:pPr>
            <w:r/>
            <w:r>
              <w:rPr>
                <w:rFonts w:ascii="Times New Roman" w:hAnsi="Times New Roman" w:cs="Times New Roman" w:eastAsia="Times New Roman"/>
                <w:b w:val="0"/>
                <w:i w:val="0"/>
                <w:sz w:val="18"/>
                <w:rtl/>
              </w:rPr>
              <w:t>تسجيلات جلسات الفيديو (حين تشملها الخطة)</w:t>
            </w:r>
          </w:p>
        </w:tc>
        <w:tc>
          <w:tcPr>
            <w:tcW w:type="dxa" w:w="4677"/>
          </w:tcPr>
          <w:p>
            <w:pPr>
              <w:bidi/>
              <w:spacing w:after="20" w:before="20" w:line="240" w:lineRule="auto"/>
              <w:ind w:firstLine="0"/>
              <w:jc w:val="center"/>
            </w:pPr>
            <w:r/>
            <w:r>
              <w:rPr>
                <w:rFonts w:ascii="Times New Roman" w:hAnsi="Times New Roman" w:cs="Times New Roman" w:eastAsia="Times New Roman"/>
                <w:b w:val="0"/>
                <w:i w:val="0"/>
                <w:sz w:val="18"/>
                <w:rtl/>
              </w:rPr>
              <w:t>MP4</w:t>
            </w:r>
          </w:p>
        </w:tc>
      </w:tr>
    </w:tbl>
    <w:p>
      <w:pPr>
        <w:spacing w:after="80"/>
      </w:pPr>
    </w:p>
    <w:p>
      <w:r>
        <w:rPr>
          <w:rFonts w:ascii="Times New Roman" w:hAnsi="Times New Roman" w:cs="Times New Roman" w:eastAsia="Times New Roman"/>
          <w:b w:val="0"/>
          <w:i w:val="0"/>
          <w:sz w:val="22"/>
          <w:rtl/>
        </w:rPr>
        <w:t>يُقدَّم عبر قناة تنزيل آمنة. وتصدير واحد ضمن مدة التسعين يومًا يُقدَّم بلا مقابل.</w:t>
      </w:r>
    </w:p>
    <w:p>
      <w:pPr>
        <w:pStyle w:val="Heading1"/>
        <w:keepNext/>
        <w:jc w:val="center"/>
      </w:pPr>
      <w:r>
        <w:rPr>
          <w:rFonts w:ascii="Times New Roman" w:hAnsi="Times New Roman" w:cs="Times New Roman" w:eastAsia="Times New Roman"/>
          <w:b/>
          <w:i w:val="0"/>
          <w:sz w:val="26"/>
          <w:rtl/>
        </w:rPr>
        <w:t>الملحق 4. ملحق معالجة البيانات</w:t>
      </w:r>
    </w:p>
    <w:p>
      <w:r>
        <w:rPr>
          <w:rFonts w:ascii="Times New Roman" w:hAnsi="Times New Roman" w:cs="Times New Roman" w:eastAsia="Times New Roman"/>
          <w:b w:val="0"/>
          <w:i w:val="0"/>
          <w:sz w:val="22"/>
          <w:rtl/>
        </w:rPr>
        <w:t xml:space="preserve">هذا الملحق هو اتفاق معالجة البيانات بين الطرفين لأغراض المادة 28(3) من اللائحة العامة لحماية البيانات والأحكام المكافئة في اللائحة العامة لحماية البيانات في المملكة المتحدة. وينطبق على نموذج النشر </w:t>
      </w:r>
      <w:r>
        <w:rPr>
          <w:rFonts w:ascii="Times New Roman" w:hAnsi="Times New Roman" w:cs="Times New Roman" w:eastAsia="Times New Roman"/>
          <w:b/>
          <w:i w:val="0"/>
          <w:sz w:val="22"/>
          <w:rtl/>
        </w:rPr>
        <w:t>بالسحابة المُدارة</w:t>
      </w:r>
      <w:r>
        <w:rPr>
          <w:rFonts w:ascii="Times New Roman" w:hAnsi="Times New Roman" w:cs="Times New Roman" w:eastAsia="Times New Roman"/>
          <w:b w:val="0"/>
          <w:i w:val="0"/>
          <w:sz w:val="22"/>
          <w:rtl/>
        </w:rPr>
        <w:t>؛ وفي نموذج On-Premise لا ينطبق إلا على وصول الدعم الممنوح بموجب البند C.3.3.</w:t>
      </w:r>
    </w:p>
    <w:p>
      <w:r>
        <w:rPr>
          <w:rFonts w:ascii="Times New Roman" w:hAnsi="Times New Roman" w:cs="Times New Roman" w:eastAsia="Times New Roman"/>
          <w:b/>
          <w:i w:val="0"/>
          <w:sz w:val="22"/>
          <w:rtl/>
        </w:rPr>
        <w:t>4.1. الأدوار.</w:t>
      </w:r>
      <w:r>
        <w:rPr>
          <w:rFonts w:ascii="Times New Roman" w:hAnsi="Times New Roman" w:cs="Times New Roman" w:eastAsia="Times New Roman"/>
          <w:b w:val="0"/>
          <w:i w:val="0"/>
          <w:sz w:val="22"/>
          <w:rtl/>
        </w:rPr>
        <w:t xml:space="preserve"> الطرف المقابل هو المتحكّم؛ والمرخِّص هو المعالِج.</w:t>
      </w:r>
    </w:p>
    <w:p>
      <w:r>
        <w:rPr>
          <w:rFonts w:ascii="Times New Roman" w:hAnsi="Times New Roman" w:cs="Times New Roman" w:eastAsia="Times New Roman"/>
          <w:b/>
          <w:i w:val="0"/>
          <w:sz w:val="22"/>
          <w:rtl/>
        </w:rPr>
        <w:t>4.2. الموضوع والغرض.</w:t>
      </w:r>
      <w:r>
        <w:rPr>
          <w:rFonts w:ascii="Times New Roman" w:hAnsi="Times New Roman" w:cs="Times New Roman" w:eastAsia="Times New Roman"/>
          <w:b w:val="0"/>
          <w:i w:val="0"/>
          <w:sz w:val="22"/>
          <w:rtl/>
        </w:rPr>
        <w:t xml:space="preserve"> تشغيل البرمجية لصالح المتحكّم وتقديم الدعم التقني.</w:t>
      </w:r>
    </w:p>
    <w:p>
      <w:r>
        <w:rPr>
          <w:rFonts w:ascii="Times New Roman" w:hAnsi="Times New Roman" w:cs="Times New Roman" w:eastAsia="Times New Roman"/>
          <w:b/>
          <w:i w:val="0"/>
          <w:sz w:val="22"/>
          <w:rtl/>
        </w:rPr>
        <w:t>4.3. المدة.</w:t>
      </w:r>
      <w:r>
        <w:rPr>
          <w:rFonts w:ascii="Times New Roman" w:hAnsi="Times New Roman" w:cs="Times New Roman" w:eastAsia="Times New Roman"/>
          <w:b w:val="0"/>
          <w:i w:val="0"/>
          <w:sz w:val="22"/>
          <w:rtl/>
        </w:rPr>
        <w:t xml:space="preserve"> مدة الترخيص مضافًا إليها تسعون (90) يومًا (البند C.11.3).</w:t>
      </w:r>
    </w:p>
    <w:p>
      <w:r>
        <w:rPr>
          <w:rFonts w:ascii="Times New Roman" w:hAnsi="Times New Roman" w:cs="Times New Roman" w:eastAsia="Times New Roman"/>
          <w:b/>
          <w:i w:val="0"/>
          <w:sz w:val="22"/>
          <w:rtl/>
        </w:rPr>
        <w:t>4.4. طبيعة المعالجة.</w:t>
      </w:r>
      <w:r>
        <w:rPr>
          <w:rFonts w:ascii="Times New Roman" w:hAnsi="Times New Roman" w:cs="Times New Roman" w:eastAsia="Times New Roman"/>
          <w:b w:val="0"/>
          <w:i w:val="0"/>
          <w:sz w:val="22"/>
          <w:rtl/>
        </w:rPr>
        <w:t xml:space="preserve"> الجمع (من المتحكّم ومستخدميه)، والتسجيل، والتنظيم، والهيكلة، والتخزين، والتكييف، والاسترجاع، والاستخدام، والتقييد، والمحو، والإتلاف، بوسائل مؤتمَتة وغير مؤتمَتة.</w:t>
      </w:r>
    </w:p>
    <w:p>
      <w:r>
        <w:rPr>
          <w:rFonts w:ascii="Times New Roman" w:hAnsi="Times New Roman" w:cs="Times New Roman" w:eastAsia="Times New Roman"/>
          <w:b/>
          <w:i w:val="0"/>
          <w:sz w:val="22"/>
          <w:rtl/>
        </w:rPr>
        <w:t>4.5. فئات أصحاب البيانات.</w:t>
      </w:r>
      <w:r>
        <w:rPr>
          <w:rFonts w:ascii="Times New Roman" w:hAnsi="Times New Roman" w:cs="Times New Roman" w:eastAsia="Times New Roman"/>
          <w:b w:val="0"/>
          <w:i w:val="0"/>
          <w:sz w:val="22"/>
          <w:rtl/>
        </w:rPr>
        <w:t xml:space="preserve"> موظفو المتحكّم ومتدرّبوه ومتعاقدوه، وأي شخص قد تُلتقَط صورته أو صوته عبر وحدة «الخبير عن بُعد» أو ميزات التقاط الأدلة.</w:t>
      </w:r>
    </w:p>
    <w:p>
      <w:r>
        <w:rPr>
          <w:rFonts w:ascii="Times New Roman" w:hAnsi="Times New Roman" w:cs="Times New Roman" w:eastAsia="Times New Roman"/>
          <w:b/>
          <w:i w:val="0"/>
          <w:sz w:val="22"/>
          <w:rtl/>
        </w:rPr>
        <w:t>4.6. فئات البيانات الشخصية.</w:t>
      </w:r>
    </w:p>
    <w:tbl>
      <w:tblPr>
        <w:tblStyle w:val="TableGrid"/>
        <w:tblW w:type="auto" w:w="0"/>
        <w:jc w:val="center"/>
        <w:tblLayout w:type="autofit"/>
        <w:tblLook w:firstColumn="1" w:firstRow="1" w:lastColumn="0" w:lastRow="0" w:noHBand="0" w:noVBand="1" w:val="04A0"/>
        <w:bidiVisual/>
      </w:tblPr>
      <w:tblGrid>
        <w:gridCol w:w="4677"/>
        <w:gridCol w:w="4677"/>
      </w:tblGrid>
      <w:tr>
        <w:trPr>
          <w:tblHeader w:val="true"/>
        </w:trPr>
        <w:tc>
          <w:tcPr>
            <w:tcW w:type="dxa" w:w="4677"/>
            <w:shd w:val="clear" w:fill="EDEDED"/>
          </w:tcPr>
          <w:p>
            <w:pPr>
              <w:bidi/>
              <w:spacing w:after="20" w:before="20" w:line="240" w:lineRule="auto"/>
              <w:ind w:firstLine="0"/>
              <w:jc w:val="center"/>
            </w:pPr>
            <w:r/>
            <w:r>
              <w:rPr>
                <w:rFonts w:ascii="Times New Roman" w:hAnsi="Times New Roman" w:cs="Times New Roman" w:eastAsia="Times New Roman"/>
                <w:b/>
                <w:i w:val="0"/>
                <w:sz w:val="18"/>
                <w:rtl/>
              </w:rPr>
              <w:t>الفئة</w:t>
            </w:r>
          </w:p>
        </w:tc>
        <w:tc>
          <w:tcPr>
            <w:tcW w:type="dxa" w:w="4677"/>
            <w:shd w:val="clear" w:fill="EDEDED"/>
          </w:tcPr>
          <w:p>
            <w:pPr>
              <w:bidi/>
              <w:spacing w:after="20" w:before="20" w:line="240" w:lineRule="auto"/>
              <w:ind w:firstLine="0"/>
              <w:jc w:val="center"/>
            </w:pPr>
            <w:r/>
            <w:r>
              <w:rPr>
                <w:rFonts w:ascii="Times New Roman" w:hAnsi="Times New Roman" w:cs="Times New Roman" w:eastAsia="Times New Roman"/>
                <w:b/>
                <w:i w:val="0"/>
                <w:sz w:val="18"/>
                <w:rtl/>
              </w:rPr>
              <w:t>المحتوى</w:t>
            </w:r>
          </w:p>
        </w:tc>
      </w:tr>
      <w:tr>
        <w:tc>
          <w:tcPr>
            <w:tcW w:type="dxa" w:w="4677"/>
          </w:tcPr>
          <w:p>
            <w:pPr>
              <w:bidi/>
              <w:spacing w:after="20" w:before="20" w:line="240" w:lineRule="auto"/>
              <w:ind w:firstLine="0"/>
              <w:jc w:val="right"/>
            </w:pPr>
            <w:r/>
            <w:r>
              <w:rPr>
                <w:rFonts w:ascii="Times New Roman" w:hAnsi="Times New Roman" w:cs="Times New Roman" w:eastAsia="Times New Roman"/>
                <w:b w:val="0"/>
                <w:i w:val="0"/>
                <w:sz w:val="18"/>
                <w:rtl/>
              </w:rPr>
              <w:t>بيانات الحساب</w:t>
            </w:r>
          </w:p>
        </w:tc>
        <w:tc>
          <w:tcPr>
            <w:tcW w:type="dxa" w:w="4677"/>
          </w:tcPr>
          <w:p>
            <w:pPr>
              <w:bidi/>
              <w:spacing w:after="20" w:before="20" w:line="240" w:lineRule="auto"/>
              <w:ind w:firstLine="0"/>
              <w:jc w:val="center"/>
            </w:pPr>
            <w:r/>
            <w:r>
              <w:rPr>
                <w:rFonts w:ascii="Times New Roman" w:hAnsi="Times New Roman" w:cs="Times New Roman" w:eastAsia="Times New Roman"/>
                <w:b w:val="0"/>
                <w:i w:val="0"/>
                <w:sz w:val="18"/>
                <w:rtl/>
              </w:rPr>
              <w:t>الاسم؛ البريد المهني؛ معرِّف المستخدم؛ المسمّى الوظيفي والقسم؛ الدور في النظام</w:t>
            </w:r>
          </w:p>
        </w:tc>
      </w:tr>
      <w:tr>
        <w:tc>
          <w:tcPr>
            <w:tcW w:type="dxa" w:w="4677"/>
          </w:tcPr>
          <w:p>
            <w:pPr>
              <w:bidi/>
              <w:spacing w:after="20" w:before="20" w:line="240" w:lineRule="auto"/>
              <w:ind w:firstLine="0"/>
              <w:jc w:val="right"/>
            </w:pPr>
            <w:r/>
            <w:r>
              <w:rPr>
                <w:rFonts w:ascii="Times New Roman" w:hAnsi="Times New Roman" w:cs="Times New Roman" w:eastAsia="Times New Roman"/>
                <w:b w:val="0"/>
                <w:i w:val="0"/>
                <w:sz w:val="18"/>
                <w:rtl/>
              </w:rPr>
              <w:t>بيانات النشاط</w:t>
            </w:r>
          </w:p>
        </w:tc>
        <w:tc>
          <w:tcPr>
            <w:tcW w:type="dxa" w:w="4677"/>
          </w:tcPr>
          <w:p>
            <w:pPr>
              <w:bidi/>
              <w:spacing w:after="20" w:before="20" w:line="240" w:lineRule="auto"/>
              <w:ind w:firstLine="0"/>
              <w:jc w:val="center"/>
            </w:pPr>
            <w:r/>
            <w:r>
              <w:rPr>
                <w:rFonts w:ascii="Times New Roman" w:hAnsi="Times New Roman" w:cs="Times New Roman" w:eastAsia="Times New Roman"/>
                <w:b w:val="0"/>
                <w:i w:val="0"/>
                <w:sz w:val="18"/>
                <w:rtl/>
              </w:rPr>
              <w:t>عمليات الدخول، والإجراءات في البرمجية، ونتائج الدورات والاختبارات، وإتمام الإجراءات، ونتائج الفحوص</w:t>
            </w:r>
          </w:p>
        </w:tc>
      </w:tr>
      <w:tr>
        <w:tc>
          <w:tcPr>
            <w:tcW w:type="dxa" w:w="4677"/>
          </w:tcPr>
          <w:p>
            <w:pPr>
              <w:bidi/>
              <w:spacing w:after="20" w:before="20" w:line="240" w:lineRule="auto"/>
              <w:ind w:firstLine="0"/>
              <w:jc w:val="right"/>
            </w:pPr>
            <w:r/>
            <w:r>
              <w:rPr>
                <w:rFonts w:ascii="Times New Roman" w:hAnsi="Times New Roman" w:cs="Times New Roman" w:eastAsia="Times New Roman"/>
                <w:b w:val="0"/>
                <w:i w:val="0"/>
                <w:sz w:val="18"/>
                <w:rtl/>
              </w:rPr>
              <w:t>بيانات تقنية</w:t>
            </w:r>
          </w:p>
        </w:tc>
        <w:tc>
          <w:tcPr>
            <w:tcW w:type="dxa" w:w="4677"/>
          </w:tcPr>
          <w:p>
            <w:pPr>
              <w:bidi/>
              <w:spacing w:after="20" w:before="20" w:line="240" w:lineRule="auto"/>
              <w:ind w:firstLine="0"/>
              <w:jc w:val="center"/>
            </w:pPr>
            <w:r/>
            <w:r>
              <w:rPr>
                <w:rFonts w:ascii="Times New Roman" w:hAnsi="Times New Roman" w:cs="Times New Roman" w:eastAsia="Times New Roman"/>
                <w:b w:val="0"/>
                <w:i w:val="0"/>
                <w:sz w:val="18"/>
                <w:rtl/>
              </w:rPr>
              <w:t>عنوان IP، ومعرِّف الجهاز، وإصدار العميل، وسجلات الأحداث</w:t>
            </w:r>
          </w:p>
        </w:tc>
      </w:tr>
      <w:tr>
        <w:tc>
          <w:tcPr>
            <w:tcW w:type="dxa" w:w="4677"/>
          </w:tcPr>
          <w:p>
            <w:pPr>
              <w:bidi/>
              <w:spacing w:after="20" w:before="20" w:line="240" w:lineRule="auto"/>
              <w:ind w:firstLine="0"/>
              <w:jc w:val="right"/>
            </w:pPr>
            <w:r/>
            <w:r>
              <w:rPr>
                <w:rFonts w:ascii="Times New Roman" w:hAnsi="Times New Roman" w:cs="Times New Roman" w:eastAsia="Times New Roman"/>
                <w:b w:val="0"/>
                <w:i w:val="0"/>
                <w:sz w:val="18"/>
                <w:rtl/>
              </w:rPr>
              <w:t>الوسائط</w:t>
            </w:r>
          </w:p>
        </w:tc>
        <w:tc>
          <w:tcPr>
            <w:tcW w:type="dxa" w:w="4677"/>
          </w:tcPr>
          <w:p>
            <w:pPr>
              <w:bidi/>
              <w:spacing w:after="20" w:before="20" w:line="240" w:lineRule="auto"/>
              <w:ind w:firstLine="0"/>
              <w:jc w:val="center"/>
            </w:pPr>
            <w:r/>
            <w:r>
              <w:rPr>
                <w:rFonts w:ascii="Times New Roman" w:hAnsi="Times New Roman" w:cs="Times New Roman" w:eastAsia="Times New Roman"/>
                <w:b w:val="0"/>
                <w:i w:val="0"/>
                <w:sz w:val="18"/>
                <w:rtl/>
              </w:rPr>
              <w:t>الصور ومقاطع الفيديو والصوت المولَّدة أثناء الاستخدام، بالقدر الذي يفعّله المتحكّم</w:t>
            </w:r>
          </w:p>
        </w:tc>
      </w:tr>
    </w:tbl>
    <w:p>
      <w:pPr>
        <w:spacing w:after="80"/>
      </w:pPr>
    </w:p>
    <w:p>
      <w:r>
        <w:rPr>
          <w:rFonts w:ascii="Times New Roman" w:hAnsi="Times New Roman" w:cs="Times New Roman" w:eastAsia="Times New Roman"/>
          <w:b w:val="0"/>
          <w:i w:val="0"/>
          <w:sz w:val="22"/>
          <w:rtl/>
        </w:rPr>
        <w:t>الفئات الخاصة من البيانات الشخصية والبيانات الحيوية خارج نطاق هذا الملحق (البند C.6.6).</w:t>
      </w:r>
    </w:p>
    <w:p>
      <w:r>
        <w:rPr>
          <w:rFonts w:ascii="Times New Roman" w:hAnsi="Times New Roman" w:cs="Times New Roman" w:eastAsia="Times New Roman"/>
          <w:b/>
          <w:i w:val="0"/>
          <w:sz w:val="22"/>
          <w:rtl/>
        </w:rPr>
        <w:t>4.7. التزامات المعالِج.</w:t>
      </w:r>
      <w:r>
        <w:rPr>
          <w:rFonts w:ascii="Times New Roman" w:hAnsi="Times New Roman" w:cs="Times New Roman" w:eastAsia="Times New Roman"/>
          <w:b w:val="0"/>
          <w:i w:val="0"/>
          <w:sz w:val="22"/>
          <w:rtl/>
        </w:rPr>
        <w:t xml:space="preserve"> يلتزم المرخِّص بما يلي: معالجة البيانات الشخصية فقط وفق تعليمات موثَّقة من المتحكّم، بما في ذلك بشأن عمليات النقل الدولية، ما لم يُلزَم قانونًا بخلاف ذلك (فيُخطِر المتحكّم عندئذ ما لم يكن محظورًا)؛ وضمان تقيّد المخوَّلين بالمعالجة بالتزام السرّية؛ وتنفيذ التدابير التقنية والتنظيمية المبيَّنة في البند 4.8؛ ومساعدة المتحكّم، مراعيًا طبيعة المعالجة، في طلبات أصحاب البيانات والالتزامات بموجب المواد 32 إلى 36 من اللائحة العامة لحماية البيانات؛ والقيام، بحسب اختيار المتحكّم، بمحو البيانات الشخصية أو إعادتها عند انتهاء المعالجة، مع مراعاة البند C.11.</w:t>
      </w:r>
    </w:p>
    <w:p>
      <w:r>
        <w:rPr>
          <w:rFonts w:ascii="Times New Roman" w:hAnsi="Times New Roman" w:cs="Times New Roman" w:eastAsia="Times New Roman"/>
          <w:b/>
          <w:i w:val="0"/>
          <w:sz w:val="22"/>
          <w:rtl/>
        </w:rPr>
        <w:t>4.8. تدابير الأمن.</w:t>
      </w:r>
      <w:r>
        <w:rPr>
          <w:rFonts w:ascii="Times New Roman" w:hAnsi="Times New Roman" w:cs="Times New Roman" w:eastAsia="Times New Roman"/>
          <w:b w:val="0"/>
          <w:i w:val="0"/>
          <w:sz w:val="22"/>
          <w:rtl/>
        </w:rPr>
        <w:t xml:space="preserve"> ينفّذ المرخِّص ويحفظ ما لا يقل عن التدابير التقنية والتنظيمية التالية:</w:t>
      </w:r>
    </w:p>
    <w:p>
      <w:pPr>
        <w:spacing w:after="40"/>
        <w:ind w:right="709" w:hanging="283"/>
      </w:pPr>
      <w:r>
        <w:rPr>
          <w:rFonts w:ascii="Times New Roman" w:hAnsi="Times New Roman" w:cs="Times New Roman" w:eastAsia="Times New Roman"/>
          <w:b w:val="0"/>
          <w:i w:val="0"/>
          <w:sz w:val="22"/>
          <w:rtl/>
        </w:rPr>
        <w:t>— تشفير البيانات أثناء النقل (TLS) وتشفير النسخ الاحتياطية؛</w:t>
      </w:r>
    </w:p>
    <w:p>
      <w:pPr>
        <w:spacing w:after="40"/>
        <w:ind w:right="709" w:hanging="283"/>
      </w:pPr>
      <w:r>
        <w:rPr>
          <w:rFonts w:ascii="Times New Roman" w:hAnsi="Times New Roman" w:cs="Times New Roman" w:eastAsia="Times New Roman"/>
          <w:b w:val="0"/>
          <w:i w:val="0"/>
          <w:sz w:val="22"/>
          <w:rtl/>
        </w:rPr>
        <w:t>— التحكم في الوصول بالأدوار، والوصول الإداري بأقل امتياز، والحسابات القابلة للعزو الفردي؛</w:t>
      </w:r>
    </w:p>
    <w:p>
      <w:pPr>
        <w:spacing w:after="40"/>
        <w:ind w:right="709" w:hanging="283"/>
      </w:pPr>
      <w:r>
        <w:rPr>
          <w:rFonts w:ascii="Times New Roman" w:hAnsi="Times New Roman" w:cs="Times New Roman" w:eastAsia="Times New Roman"/>
          <w:b w:val="0"/>
          <w:i w:val="0"/>
          <w:sz w:val="22"/>
          <w:rtl/>
        </w:rPr>
        <w:t>— تسجيل تدقيق لنشاط المستخدمين والمسؤولين، مع الاحتفاظ بالسجلات؛</w:t>
      </w:r>
    </w:p>
    <w:p>
      <w:pPr>
        <w:spacing w:after="40"/>
        <w:ind w:right="709" w:hanging="283"/>
      </w:pPr>
      <w:r>
        <w:rPr>
          <w:rFonts w:ascii="Times New Roman" w:hAnsi="Times New Roman" w:cs="Times New Roman" w:eastAsia="Times New Roman"/>
          <w:b w:val="0"/>
          <w:i w:val="0"/>
          <w:sz w:val="22"/>
          <w:rtl/>
        </w:rPr>
        <w:t>— عزل الشبكة بين البيئات؛</w:t>
      </w:r>
    </w:p>
    <w:p>
      <w:pPr>
        <w:spacing w:after="40"/>
        <w:ind w:right="709" w:hanging="283"/>
      </w:pPr>
      <w:r>
        <w:rPr>
          <w:rFonts w:ascii="Times New Roman" w:hAnsi="Times New Roman" w:cs="Times New Roman" w:eastAsia="Times New Roman"/>
          <w:b w:val="0"/>
          <w:i w:val="0"/>
          <w:sz w:val="22"/>
          <w:rtl/>
        </w:rPr>
        <w:t>— نسخ احتياطي يومي وفق البند 3.5 من الملحق 3، مع اختبارات استعادة دورية؛</w:t>
      </w:r>
    </w:p>
    <w:p>
      <w:pPr>
        <w:spacing w:after="40"/>
        <w:ind w:right="709" w:hanging="283"/>
      </w:pPr>
      <w:r>
        <w:rPr>
          <w:rFonts w:ascii="Times New Roman" w:hAnsi="Times New Roman" w:cs="Times New Roman" w:eastAsia="Times New Roman"/>
          <w:b w:val="0"/>
          <w:i w:val="0"/>
          <w:sz w:val="22"/>
          <w:rtl/>
        </w:rPr>
        <w:t>— إدارة الثغرات والتطبيق الآني لتحديثات الأمن؛</w:t>
      </w:r>
    </w:p>
    <w:p>
      <w:pPr>
        <w:spacing w:after="40"/>
        <w:ind w:right="709" w:hanging="283"/>
      </w:pPr>
      <w:r>
        <w:rPr>
          <w:rFonts w:ascii="Times New Roman" w:hAnsi="Times New Roman" w:cs="Times New Roman" w:eastAsia="Times New Roman"/>
          <w:b w:val="0"/>
          <w:i w:val="0"/>
          <w:sz w:val="22"/>
          <w:rtl/>
        </w:rPr>
        <w:t>— تعهّدات سرّية وتدريب أمني للأفراد المخوَّلين بالمعالجة؛</w:t>
      </w:r>
    </w:p>
    <w:p>
      <w:pPr>
        <w:spacing w:after="40"/>
        <w:ind w:right="709" w:hanging="283"/>
      </w:pPr>
      <w:r>
        <w:rPr>
          <w:rFonts w:ascii="Times New Roman" w:hAnsi="Times New Roman" w:cs="Times New Roman" w:eastAsia="Times New Roman"/>
          <w:b w:val="0"/>
          <w:i w:val="0"/>
          <w:sz w:val="22"/>
          <w:rtl/>
        </w:rPr>
        <w:t>— عملية موثَّقة للاستجابة للحوادث؛</w:t>
      </w:r>
    </w:p>
    <w:p>
      <w:pPr>
        <w:spacing w:after="40"/>
        <w:ind w:right="709" w:hanging="283"/>
      </w:pPr>
      <w:r>
        <w:rPr>
          <w:rFonts w:ascii="Times New Roman" w:hAnsi="Times New Roman" w:cs="Times New Roman" w:eastAsia="Times New Roman"/>
          <w:b w:val="0"/>
          <w:i w:val="0"/>
          <w:sz w:val="22"/>
          <w:rtl/>
        </w:rPr>
        <w:t>— شخص معيَّن مسؤول عن تنظيم معالجة البيانات الشخصية؛</w:t>
      </w:r>
    </w:p>
    <w:p>
      <w:pPr>
        <w:spacing w:after="40"/>
        <w:ind w:right="709" w:hanging="283"/>
      </w:pPr>
      <w:r>
        <w:rPr>
          <w:rFonts w:ascii="Times New Roman" w:hAnsi="Times New Roman" w:cs="Times New Roman" w:eastAsia="Times New Roman"/>
          <w:b w:val="0"/>
          <w:i w:val="0"/>
          <w:sz w:val="22"/>
          <w:rtl/>
        </w:rPr>
        <w:t>— سياسات داخلية موثَّقة لمعالجة البيانات الشخصية وحمايتها.</w:t>
      </w:r>
    </w:p>
    <w:p>
      <w:r>
        <w:rPr>
          <w:rFonts w:ascii="Times New Roman" w:hAnsi="Times New Roman" w:cs="Times New Roman" w:eastAsia="Times New Roman"/>
          <w:b/>
          <w:i w:val="0"/>
          <w:sz w:val="22"/>
          <w:rtl/>
        </w:rPr>
        <w:t>4.9. المعالِجون من الباطن.</w:t>
      </w:r>
      <w:r>
        <w:rPr>
          <w:rFonts w:ascii="Times New Roman" w:hAnsi="Times New Roman" w:cs="Times New Roman" w:eastAsia="Times New Roman"/>
          <w:b w:val="0"/>
          <w:i w:val="0"/>
          <w:sz w:val="22"/>
          <w:rtl/>
        </w:rPr>
        <w:t xml:space="preserve"> لا يجوز للمرخِّص الاستعانة بمعالِجين من الباطن إلا بموجب عقد كتابي يفرض التزامات مكافئة، ويظل مسؤولًا مسؤوليةً كاملة عن أدائهم. وحتى تاريخ هذه النسخة، لا يُستعان بأي معالِج من الباطن عدا مشغّل مركز البيانات الذي يوفّر بنية الحوسبة لإقليم الاستضافة المبيَّن في البند 4.12، والذي يوفّر السعة فقط ولا يجري معالجة خاصة به. ويُخطِر المرخِّص المتحكّمَ قبل ثلاثين (30) يومًا على الأقل بأي إضافة أو استبدال مزمَع، وللمتحكّم الاعتراض لأسباب معقولة تتعلق بحماية البيانات؛ فإن تعذّر حل الاعتراض، جاز للمتحكّم إنهاء الخدمات المتأثّرة مع ردّ تناسبي.</w:t>
      </w:r>
    </w:p>
    <w:p>
      <w:r>
        <w:rPr>
          <w:rFonts w:ascii="Times New Roman" w:hAnsi="Times New Roman" w:cs="Times New Roman" w:eastAsia="Times New Roman"/>
          <w:b/>
          <w:i w:val="0"/>
          <w:sz w:val="22"/>
          <w:rtl/>
        </w:rPr>
        <w:t>4.10. انتهاكات البيانات الشخصية.</w:t>
      </w:r>
      <w:r>
        <w:rPr>
          <w:rFonts w:ascii="Times New Roman" w:hAnsi="Times New Roman" w:cs="Times New Roman" w:eastAsia="Times New Roman"/>
          <w:b w:val="0"/>
          <w:i w:val="0"/>
          <w:sz w:val="22"/>
          <w:rtl/>
        </w:rPr>
        <w:t xml:space="preserve"> يُخطِر المرخِّص المتحكّمَ دون تأخير لا مبرّر له، وعلى أي حال خلال أربع وعشرين (24) ساعة من علمه بانتهاك بيانات شخصية يمسّ بيانات المتحكّم، مع المعلومات المتاحة عن طبيعة الانتهاك وفئات البيانات المتأثّرة وحجمها التقريبي والعواقب المحتملة والتدابير المتَّخذة.</w:t>
      </w:r>
    </w:p>
    <w:p>
      <w:r>
        <w:rPr>
          <w:rFonts w:ascii="Times New Roman" w:hAnsi="Times New Roman" w:cs="Times New Roman" w:eastAsia="Times New Roman"/>
          <w:b/>
          <w:i w:val="0"/>
          <w:sz w:val="22"/>
          <w:rtl/>
        </w:rPr>
        <w:t>4.11. عمليات التدقيق.</w:t>
      </w:r>
      <w:r>
        <w:rPr>
          <w:rFonts w:ascii="Times New Roman" w:hAnsi="Times New Roman" w:cs="Times New Roman" w:eastAsia="Times New Roman"/>
          <w:b w:val="0"/>
          <w:i w:val="0"/>
          <w:sz w:val="22"/>
          <w:rtl/>
        </w:rPr>
        <w:t xml:space="preserve"> يتيح المرخِّص المعلومات اللازمة لإثبات الامتثال لهذا الملحق، ويسمح بعمليات التدقيق ويسهم فيها، بما فيها المعاينات، التي يجريها المتحكّم أو مدقّق يفوّضه، بما لا يزيد على مرة كل اثني عشر (12) شهرًا (ما لم تطلبها سلطة رقابية)، بإشعار مدته ثلاثون (30) يومًا، في ساعات العمل، مع مراعاة السرّية واسترداد التكاليف المعقولة.</w:t>
      </w:r>
    </w:p>
    <w:p>
      <w:r>
        <w:rPr>
          <w:rFonts w:ascii="Times New Roman" w:hAnsi="Times New Roman" w:cs="Times New Roman" w:eastAsia="Times New Roman"/>
          <w:b/>
          <w:i w:val="0"/>
          <w:sz w:val="22"/>
          <w:rtl/>
        </w:rPr>
        <w:t>4.12. عمليات النقل الدولية.</w:t>
      </w:r>
      <w:r>
        <w:rPr>
          <w:rFonts w:ascii="Times New Roman" w:hAnsi="Times New Roman" w:cs="Times New Roman" w:eastAsia="Times New Roman"/>
          <w:b w:val="0"/>
          <w:i w:val="0"/>
          <w:sz w:val="22"/>
          <w:rtl/>
        </w:rPr>
        <w:t xml:space="preserve"> إقليم الاستضافة: الاتحاد الأوروبي (فرانكفورت، ألمانيا). ويُخزَّن محتوى العميل والبيانات الشخصية المعالَجة بموجب هذه الشروط داخل الاتحاد الأوروبي ولا تُخزَّن خارجه.</w:t>
      </w:r>
    </w:p>
    <w:p>
      <w:r>
        <w:rPr>
          <w:rFonts w:ascii="Times New Roman" w:hAnsi="Times New Roman" w:cs="Times New Roman" w:eastAsia="Times New Roman"/>
          <w:b w:val="0"/>
          <w:i w:val="0"/>
          <w:sz w:val="22"/>
          <w:rtl/>
        </w:rPr>
        <w:t>المرخِّص مؤسَّس في الولايات المتحدة. وحيثما وصل أفراده إلى بيانات شخصية من خارج المنطقة الاقتصادية الأوروبية لتقديم الدعم بموجب البند C.3.3، شكّل ذلك الوصول نقلًا إلى بلد ثالث، ويجري بموجب الشروط التعاقدية النموذجية للاتحاد الأوروبي (قرار التنفيذ (الاتحاد الأوروبي) 2021/914)، الوحدة الثانية (من متحكّم إلى معالِج)، المُدمَجة في هذه الشروط بالإحالة، مع ملحق نقل البيانات الدولي للمملكة المتحدة حيثما انطبقت اللائحة العامة لحماية البيانات في المملكة المتحدة. وينطبق بند الانضمام الاختياري. والقانون الحاكم والاختصاص للشروط التعاقدية النموذجية: ألمانيا. وتُستكمَل الملاحق I إلى III من الشروط التعاقدية النموذجية بالبنود 4.1 إلى 4.9 من هذا الملحق.</w:t>
      </w:r>
    </w:p>
    <w:p>
      <w:r>
        <w:rPr>
          <w:rFonts w:ascii="Times New Roman" w:hAnsi="Times New Roman" w:cs="Times New Roman" w:eastAsia="Times New Roman"/>
          <w:b/>
          <w:i w:val="0"/>
          <w:sz w:val="22"/>
          <w:rtl/>
        </w:rPr>
        <w:t>4.13. توطين البيانات.</w:t>
      </w:r>
      <w:r>
        <w:rPr>
          <w:rFonts w:ascii="Times New Roman" w:hAnsi="Times New Roman" w:cs="Times New Roman" w:eastAsia="Times New Roman"/>
          <w:b w:val="0"/>
          <w:i w:val="0"/>
          <w:sz w:val="22"/>
          <w:rtl/>
        </w:rPr>
        <w:t xml:space="preserve"> حيثما خضع المتحكّم لمتطلب توطين بيانات، يُتَّفق على إقليم الاستضافة في استمارة الطلب. وعمليات النشر التي يلزم قانونًا استضافتها في الاتحاد الروسي خارجةٌ عن نطاق هذه الشروط، ولا تُستضاف بموجب هذه الشروط أي بيانات شخصية هناك.</w:t>
      </w:r>
    </w:p>
    <w:p>
      <w:r>
        <w:rPr>
          <w:rFonts w:ascii="Times New Roman" w:hAnsi="Times New Roman" w:cs="Times New Roman" w:eastAsia="Times New Roman"/>
          <w:b/>
          <w:i w:val="0"/>
          <w:sz w:val="22"/>
          <w:rtl/>
        </w:rPr>
        <w:t>4.14. On-Premise.</w:t>
      </w:r>
      <w:r>
        <w:rPr>
          <w:rFonts w:ascii="Times New Roman" w:hAnsi="Times New Roman" w:cs="Times New Roman" w:eastAsia="Times New Roman"/>
          <w:b w:val="0"/>
          <w:i w:val="0"/>
          <w:sz w:val="22"/>
          <w:rtl/>
        </w:rPr>
        <w:t xml:space="preserve"> في نموذج On-Premise، لا تُنقل أي بيانات شخصية إلى المرخِّص. وحيثما مُنح وصول دعم بموجب البند C.3.3، جرى ذلك الوصول بتعليمات المتحكّم لكل طلب على حدة، وخضع لهذا الملحق طوال مدته.</w:t>
      </w:r>
    </w:p>
    <w:p>
      <w:pPr>
        <w:pStyle w:val="Heading1"/>
        <w:keepNext/>
        <w:jc w:val="center"/>
      </w:pPr>
      <w:r>
        <w:rPr>
          <w:rFonts w:ascii="Times New Roman" w:hAnsi="Times New Roman" w:cs="Times New Roman" w:eastAsia="Times New Roman"/>
          <w:b/>
          <w:i w:val="0"/>
          <w:sz w:val="26"/>
          <w:rtl/>
        </w:rPr>
        <w:t>الملحق 5. متطلبات البنية التحتية (On-Premise)</w:t>
      </w:r>
    </w:p>
    <w:p>
      <w:r>
        <w:rPr>
          <w:rFonts w:ascii="Times New Roman" w:hAnsi="Times New Roman" w:cs="Times New Roman" w:eastAsia="Times New Roman"/>
          <w:b w:val="0"/>
          <w:i w:val="0"/>
          <w:sz w:val="22"/>
          <w:rtl/>
        </w:rPr>
        <w:t>الحد الأدنى لتكوين الخادم للنسخة التشغيلية On-Premise:</w:t>
      </w:r>
    </w:p>
    <w:tbl>
      <w:tblPr>
        <w:tblStyle w:val="TableGrid"/>
        <w:tblW w:type="auto" w:w="0"/>
        <w:jc w:val="center"/>
        <w:tblLayout w:type="autofit"/>
        <w:tblLook w:firstColumn="1" w:firstRow="1" w:lastColumn="0" w:lastRow="0" w:noHBand="0" w:noVBand="1" w:val="04A0"/>
        <w:bidiVisual/>
      </w:tblPr>
      <w:tblGrid>
        <w:gridCol w:w="4677"/>
        <w:gridCol w:w="4677"/>
      </w:tblGrid>
      <w:tr>
        <w:trPr>
          <w:tblHeader w:val="true"/>
        </w:trPr>
        <w:tc>
          <w:tcPr>
            <w:tcW w:type="dxa" w:w="4677"/>
            <w:shd w:val="clear" w:fill="EDEDED"/>
          </w:tcPr>
          <w:p>
            <w:pPr>
              <w:bidi/>
              <w:spacing w:after="20" w:before="20" w:line="240" w:lineRule="auto"/>
              <w:ind w:firstLine="0"/>
              <w:jc w:val="center"/>
            </w:pPr>
            <w:r/>
            <w:r>
              <w:rPr>
                <w:rFonts w:ascii="Times New Roman" w:hAnsi="Times New Roman" w:cs="Times New Roman" w:eastAsia="Times New Roman"/>
                <w:b/>
                <w:i w:val="0"/>
                <w:sz w:val="18"/>
                <w:rtl/>
              </w:rPr>
              <w:t>المكوّن</w:t>
            </w:r>
          </w:p>
        </w:tc>
        <w:tc>
          <w:tcPr>
            <w:tcW w:type="dxa" w:w="4677"/>
            <w:shd w:val="clear" w:fill="EDEDED"/>
          </w:tcPr>
          <w:p>
            <w:pPr>
              <w:bidi/>
              <w:spacing w:after="20" w:before="20" w:line="240" w:lineRule="auto"/>
              <w:ind w:firstLine="0"/>
              <w:jc w:val="center"/>
            </w:pPr>
            <w:r/>
            <w:r>
              <w:rPr>
                <w:rFonts w:ascii="Times New Roman" w:hAnsi="Times New Roman" w:cs="Times New Roman" w:eastAsia="Times New Roman"/>
                <w:b/>
                <w:i w:val="0"/>
                <w:sz w:val="18"/>
                <w:rtl/>
              </w:rPr>
              <w:t>الحد الأدنى</w:t>
            </w:r>
          </w:p>
        </w:tc>
      </w:tr>
      <w:tr>
        <w:tc>
          <w:tcPr>
            <w:tcW w:type="dxa" w:w="4677"/>
          </w:tcPr>
          <w:p>
            <w:pPr>
              <w:bidi/>
              <w:spacing w:after="20" w:before="20" w:line="240" w:lineRule="auto"/>
              <w:ind w:firstLine="0"/>
              <w:jc w:val="right"/>
            </w:pPr>
            <w:r/>
            <w:r>
              <w:rPr>
                <w:rFonts w:ascii="Times New Roman" w:hAnsi="Times New Roman" w:cs="Times New Roman" w:eastAsia="Times New Roman"/>
                <w:b w:val="0"/>
                <w:i w:val="0"/>
                <w:sz w:val="18"/>
                <w:rtl/>
              </w:rPr>
              <w:t>المعالج (CPU)</w:t>
            </w:r>
          </w:p>
        </w:tc>
        <w:tc>
          <w:tcPr>
            <w:tcW w:type="dxa" w:w="4677"/>
          </w:tcPr>
          <w:p>
            <w:pPr>
              <w:bidi/>
              <w:spacing w:after="20" w:before="20" w:line="240" w:lineRule="auto"/>
              <w:ind w:firstLine="0"/>
              <w:jc w:val="center"/>
            </w:pPr>
            <w:r/>
            <w:r>
              <w:rPr>
                <w:rFonts w:ascii="Times New Roman" w:hAnsi="Times New Roman" w:cs="Times New Roman" w:eastAsia="Times New Roman"/>
                <w:b w:val="0"/>
                <w:i w:val="0"/>
                <w:sz w:val="18"/>
                <w:rtl/>
              </w:rPr>
              <w:t>8 vCPU / 8 أنوية فيزيائية</w:t>
            </w:r>
          </w:p>
        </w:tc>
      </w:tr>
      <w:tr>
        <w:tc>
          <w:tcPr>
            <w:tcW w:type="dxa" w:w="4677"/>
          </w:tcPr>
          <w:p>
            <w:pPr>
              <w:bidi/>
              <w:spacing w:after="20" w:before="20" w:line="240" w:lineRule="auto"/>
              <w:ind w:firstLine="0"/>
              <w:jc w:val="right"/>
            </w:pPr>
            <w:r/>
            <w:r>
              <w:rPr>
                <w:rFonts w:ascii="Times New Roman" w:hAnsi="Times New Roman" w:cs="Times New Roman" w:eastAsia="Times New Roman"/>
                <w:b w:val="0"/>
                <w:i w:val="0"/>
                <w:sz w:val="18"/>
                <w:rtl/>
              </w:rPr>
              <w:t>المعالج الرسومي (GPU)</w:t>
            </w:r>
          </w:p>
        </w:tc>
        <w:tc>
          <w:tcPr>
            <w:tcW w:type="dxa" w:w="4677"/>
          </w:tcPr>
          <w:p>
            <w:pPr>
              <w:bidi/>
              <w:spacing w:after="20" w:before="20" w:line="240" w:lineRule="auto"/>
              <w:ind w:firstLine="0"/>
              <w:jc w:val="center"/>
            </w:pPr>
            <w:r/>
            <w:r>
              <w:rPr>
                <w:rFonts w:ascii="Times New Roman" w:hAnsi="Times New Roman" w:cs="Times New Roman" w:eastAsia="Times New Roman"/>
                <w:b w:val="0"/>
                <w:i w:val="0"/>
                <w:sz w:val="18"/>
                <w:rtl/>
              </w:rPr>
              <w:t>ذاكرة VRAM 12 جيجابايت</w:t>
            </w:r>
          </w:p>
        </w:tc>
      </w:tr>
      <w:tr>
        <w:tc>
          <w:tcPr>
            <w:tcW w:type="dxa" w:w="4677"/>
          </w:tcPr>
          <w:p>
            <w:pPr>
              <w:bidi/>
              <w:spacing w:after="20" w:before="20" w:line="240" w:lineRule="auto"/>
              <w:ind w:firstLine="0"/>
              <w:jc w:val="right"/>
            </w:pPr>
            <w:r/>
            <w:r>
              <w:rPr>
                <w:rFonts w:ascii="Times New Roman" w:hAnsi="Times New Roman" w:cs="Times New Roman" w:eastAsia="Times New Roman"/>
                <w:b w:val="0"/>
                <w:i w:val="0"/>
                <w:sz w:val="18"/>
                <w:rtl/>
              </w:rPr>
              <w:t>الذاكرة (RAM)</w:t>
            </w:r>
          </w:p>
        </w:tc>
        <w:tc>
          <w:tcPr>
            <w:tcW w:type="dxa" w:w="4677"/>
          </w:tcPr>
          <w:p>
            <w:pPr>
              <w:bidi/>
              <w:spacing w:after="20" w:before="20" w:line="240" w:lineRule="auto"/>
              <w:ind w:firstLine="0"/>
              <w:jc w:val="center"/>
            </w:pPr>
            <w:r/>
            <w:r>
              <w:rPr>
                <w:rFonts w:ascii="Times New Roman" w:hAnsi="Times New Roman" w:cs="Times New Roman" w:eastAsia="Times New Roman"/>
                <w:b w:val="0"/>
                <w:i w:val="0"/>
                <w:sz w:val="18"/>
                <w:rtl/>
              </w:rPr>
              <w:t>16 جيجابايت</w:t>
            </w:r>
          </w:p>
        </w:tc>
      </w:tr>
      <w:tr>
        <w:tc>
          <w:tcPr>
            <w:tcW w:type="dxa" w:w="4677"/>
          </w:tcPr>
          <w:p>
            <w:pPr>
              <w:bidi/>
              <w:spacing w:after="20" w:before="20" w:line="240" w:lineRule="auto"/>
              <w:ind w:firstLine="0"/>
              <w:jc w:val="right"/>
            </w:pPr>
            <w:r/>
            <w:r>
              <w:rPr>
                <w:rFonts w:ascii="Times New Roman" w:hAnsi="Times New Roman" w:cs="Times New Roman" w:eastAsia="Times New Roman"/>
                <w:b w:val="0"/>
                <w:i w:val="0"/>
                <w:sz w:val="18"/>
                <w:rtl/>
              </w:rPr>
              <w:t>التخزين</w:t>
            </w:r>
          </w:p>
        </w:tc>
        <w:tc>
          <w:tcPr>
            <w:tcW w:type="dxa" w:w="4677"/>
          </w:tcPr>
          <w:p>
            <w:pPr>
              <w:bidi/>
              <w:spacing w:after="20" w:before="20" w:line="240" w:lineRule="auto"/>
              <w:ind w:firstLine="0"/>
              <w:jc w:val="center"/>
            </w:pPr>
            <w:r/>
            <w:r>
              <w:rPr>
                <w:rFonts w:ascii="Times New Roman" w:hAnsi="Times New Roman" w:cs="Times New Roman" w:eastAsia="Times New Roman"/>
                <w:b w:val="0"/>
                <w:i w:val="0"/>
                <w:sz w:val="18"/>
                <w:rtl/>
              </w:rPr>
              <w:t>SSD 200 جيجابايت</w:t>
            </w:r>
          </w:p>
        </w:tc>
      </w:tr>
      <w:tr>
        <w:tc>
          <w:tcPr>
            <w:tcW w:type="dxa" w:w="4677"/>
          </w:tcPr>
          <w:p>
            <w:pPr>
              <w:bidi/>
              <w:spacing w:after="20" w:before="20" w:line="240" w:lineRule="auto"/>
              <w:ind w:firstLine="0"/>
              <w:jc w:val="right"/>
            </w:pPr>
            <w:r/>
            <w:r>
              <w:rPr>
                <w:rFonts w:ascii="Times New Roman" w:hAnsi="Times New Roman" w:cs="Times New Roman" w:eastAsia="Times New Roman"/>
                <w:b w:val="0"/>
                <w:i w:val="0"/>
                <w:sz w:val="18"/>
                <w:rtl/>
              </w:rPr>
              <w:t>الشبكة</w:t>
            </w:r>
          </w:p>
        </w:tc>
        <w:tc>
          <w:tcPr>
            <w:tcW w:type="dxa" w:w="4677"/>
          </w:tcPr>
          <w:p>
            <w:pPr>
              <w:bidi/>
              <w:spacing w:after="20" w:before="20" w:line="240" w:lineRule="auto"/>
              <w:ind w:firstLine="0"/>
              <w:jc w:val="center"/>
            </w:pPr>
            <w:r/>
            <w:r>
              <w:rPr>
                <w:rFonts w:ascii="Times New Roman" w:hAnsi="Times New Roman" w:cs="Times New Roman" w:eastAsia="Times New Roman"/>
                <w:b w:val="0"/>
                <w:i w:val="0"/>
                <w:sz w:val="18"/>
                <w:rtl/>
              </w:rPr>
              <w:t>100 ميجابت/ث (يُوصى بـ 1 جيجابت/ث)</w:t>
            </w:r>
          </w:p>
        </w:tc>
      </w:tr>
    </w:tbl>
    <w:p>
      <w:pPr>
        <w:spacing w:after="80"/>
      </w:pPr>
    </w:p>
    <w:p>
      <w:r>
        <w:rPr>
          <w:rFonts w:ascii="Times New Roman" w:hAnsi="Times New Roman" w:cs="Times New Roman" w:eastAsia="Times New Roman"/>
          <w:b/>
          <w:i w:val="0"/>
          <w:sz w:val="22"/>
          <w:rtl/>
        </w:rPr>
        <w:t>ملاحظات.</w:t>
      </w:r>
    </w:p>
    <w:p>
      <w:pPr>
        <w:spacing w:after="40"/>
        <w:ind w:right="709" w:hanging="425"/>
      </w:pPr>
      <w:r>
        <w:rPr>
          <w:rFonts w:ascii="Times New Roman" w:hAnsi="Times New Roman" w:cs="Times New Roman" w:eastAsia="Times New Roman"/>
          <w:b w:val="0"/>
          <w:i w:val="0"/>
          <w:sz w:val="22"/>
          <w:rtl/>
        </w:rPr>
        <w:t>1. يحدّد المرخِّص التكوين الزائد عن الحد الأدنى بناءً على عدد المواقع والآلات المشمولة والأجهزة.</w:t>
      </w:r>
    </w:p>
    <w:p>
      <w:pPr>
        <w:spacing w:after="40"/>
        <w:ind w:right="709" w:hanging="425"/>
      </w:pPr>
      <w:r>
        <w:rPr>
          <w:rFonts w:ascii="Times New Roman" w:hAnsi="Times New Roman" w:cs="Times New Roman" w:eastAsia="Times New Roman"/>
          <w:b w:val="0"/>
          <w:i w:val="0"/>
          <w:sz w:val="22"/>
          <w:rtl/>
        </w:rPr>
        <w:t>2. النسخة التشغيلية On-Premise قادرة على العمل كليًا دون اتصال بالإنترنت.</w:t>
      </w:r>
    </w:p>
    <w:p>
      <w:pPr>
        <w:spacing w:after="40"/>
        <w:ind w:right="709" w:hanging="425"/>
      </w:pPr>
      <w:r>
        <w:rPr>
          <w:rFonts w:ascii="Times New Roman" w:hAnsi="Times New Roman" w:cs="Times New Roman" w:eastAsia="Times New Roman"/>
          <w:b w:val="0"/>
          <w:i w:val="0"/>
          <w:sz w:val="22"/>
          <w:rtl/>
        </w:rPr>
        <w:t>3. التغذية الكهربائية والتبريد والأمن المادي لغرفة الخوادم والنسخ الاحتياطي والحماية من البرمجيات الخبيثة على عاتق الطرف المقابل.</w:t>
      </w:r>
    </w:p>
    <w:p>
      <w:pPr>
        <w:spacing w:after="40"/>
        <w:ind w:right="709" w:hanging="425"/>
      </w:pPr>
      <w:r>
        <w:rPr>
          <w:rFonts w:ascii="Times New Roman" w:hAnsi="Times New Roman" w:cs="Times New Roman" w:eastAsia="Times New Roman"/>
          <w:b w:val="0"/>
          <w:i w:val="0"/>
          <w:sz w:val="22"/>
          <w:rtl/>
        </w:rPr>
        <w:t>4. متطلبات نظام التشغيل والمحاكاة الافتراضية وبرمجيات الغير مبيَّنة في الوثائق التقنية المسلَّمة عند النشر. ويشتري الطرف المقابل بنفسه تراخيص برمجيات النظام الخاصة بالغير.</w:t>
      </w:r>
    </w:p>
    <w:p>
      <w:pPr>
        <w:pStyle w:val="Heading1"/>
        <w:keepNext/>
        <w:jc w:val="center"/>
      </w:pPr>
      <w:r>
        <w:rPr>
          <w:rFonts w:ascii="Times New Roman" w:hAnsi="Times New Roman" w:cs="Times New Roman" w:eastAsia="Times New Roman"/>
          <w:b/>
          <w:i w:val="0"/>
          <w:sz w:val="26"/>
          <w:rtl/>
        </w:rPr>
        <w:t>الملحق 6. نموذج استمارة الطلب</w:t>
      </w:r>
    </w:p>
    <w:p>
      <w:r>
        <w:rPr>
          <w:rFonts w:ascii="Times New Roman" w:hAnsi="Times New Roman" w:cs="Times New Roman" w:eastAsia="Times New Roman"/>
          <w:b/>
          <w:i w:val="0"/>
          <w:sz w:val="22"/>
          <w:rtl/>
        </w:rPr>
        <w:t>استمارة طلب رقم ____ بتاريخ __ ________ 20__</w:t>
      </w:r>
      <w:r>
        <w:rPr>
          <w:rFonts w:ascii="Times New Roman" w:hAnsi="Times New Roman" w:cs="Times New Roman" w:eastAsia="Times New Roman"/>
          <w:b w:val="0"/>
          <w:i w:val="0"/>
          <w:sz w:val="22"/>
          <w:rtl/>
        </w:rPr>
        <w:t xml:space="preserve"> بموجب شروط ترخيص ARSY AI (إصدار ____________)</w:t>
      </w:r>
    </w:p>
    <w:tbl>
      <w:tblPr>
        <w:tblStyle w:val="TableGrid"/>
        <w:tblW w:type="auto" w:w="0"/>
        <w:jc w:val="center"/>
        <w:tblLayout w:type="autofit"/>
        <w:tblLook w:firstColumn="1" w:firstRow="1" w:lastColumn="0" w:lastRow="0" w:noHBand="0" w:noVBand="1" w:val="04A0"/>
        <w:bidiVisual/>
      </w:tblPr>
      <w:tblGrid>
        <w:gridCol w:w="3118"/>
        <w:gridCol w:w="3118"/>
        <w:gridCol w:w="3118"/>
      </w:tblGrid>
      <w:tr>
        <w:trPr>
          <w:tblHeader w:val="true"/>
        </w:trPr>
        <w:tc>
          <w:tcPr>
            <w:tcW w:type="dxa" w:w="3118"/>
            <w:shd w:val="clear" w:fill="EDEDED"/>
          </w:tcPr>
          <w:p>
            <w:pPr>
              <w:bidi/>
              <w:spacing w:after="20" w:before="20" w:line="240" w:lineRule="auto"/>
              <w:ind w:firstLine="0"/>
              <w:jc w:val="center"/>
            </w:pPr>
            <w:r/>
            <w:r>
              <w:rPr>
                <w:rFonts w:ascii="Times New Roman" w:hAnsi="Times New Roman" w:cs="Times New Roman" w:eastAsia="Times New Roman"/>
                <w:b/>
                <w:i w:val="0"/>
                <w:sz w:val="18"/>
                <w:rtl/>
              </w:rPr>
              <w:t>الرقم</w:t>
            </w:r>
          </w:p>
        </w:tc>
        <w:tc>
          <w:tcPr>
            <w:tcW w:type="dxa" w:w="3118"/>
            <w:shd w:val="clear" w:fill="EDEDED"/>
          </w:tcPr>
          <w:p>
            <w:pPr>
              <w:bidi/>
              <w:spacing w:after="20" w:before="20" w:line="240" w:lineRule="auto"/>
              <w:ind w:firstLine="0"/>
              <w:jc w:val="center"/>
            </w:pPr>
            <w:r/>
            <w:r>
              <w:rPr>
                <w:rFonts w:ascii="Times New Roman" w:hAnsi="Times New Roman" w:cs="Times New Roman" w:eastAsia="Times New Roman"/>
                <w:b/>
                <w:i w:val="0"/>
                <w:sz w:val="18"/>
                <w:rtl/>
              </w:rPr>
              <w:t>البند</w:t>
            </w:r>
          </w:p>
        </w:tc>
        <w:tc>
          <w:tcPr>
            <w:tcW w:type="dxa" w:w="3118"/>
            <w:shd w:val="clear" w:fill="EDEDED"/>
          </w:tcPr>
          <w:p>
            <w:pPr>
              <w:bidi/>
              <w:spacing w:after="20" w:before="20" w:line="240" w:lineRule="auto"/>
              <w:ind w:firstLine="0"/>
              <w:jc w:val="center"/>
            </w:pPr>
            <w:r/>
            <w:r>
              <w:rPr>
                <w:rFonts w:ascii="Times New Roman" w:hAnsi="Times New Roman" w:cs="Times New Roman" w:eastAsia="Times New Roman"/>
                <w:b/>
                <w:i w:val="0"/>
                <w:sz w:val="18"/>
                <w:rtl/>
              </w:rPr>
              <w:t>القيمة</w:t>
            </w:r>
          </w:p>
        </w:tc>
      </w:tr>
      <w:tr>
        <w:tc>
          <w:tcPr>
            <w:tcW w:type="dxa" w:w="3118"/>
          </w:tcPr>
          <w:p>
            <w:pPr>
              <w:bidi/>
              <w:spacing w:after="20" w:before="20" w:line="240" w:lineRule="auto"/>
              <w:ind w:firstLine="0"/>
              <w:jc w:val="right"/>
            </w:pPr>
            <w:r/>
            <w:r>
              <w:rPr>
                <w:rFonts w:ascii="Times New Roman" w:hAnsi="Times New Roman" w:cs="Times New Roman" w:eastAsia="Times New Roman"/>
                <w:b w:val="0"/>
                <w:i w:val="0"/>
                <w:sz w:val="18"/>
                <w:rtl/>
              </w:rPr>
              <w:t>1</w:t>
            </w:r>
          </w:p>
        </w:tc>
        <w:tc>
          <w:tcPr>
            <w:tcW w:type="dxa" w:w="3118"/>
          </w:tcPr>
          <w:p>
            <w:pPr>
              <w:bidi/>
              <w:spacing w:after="20" w:before="20" w:line="240" w:lineRule="auto"/>
              <w:ind w:firstLine="0"/>
              <w:jc w:val="center"/>
            </w:pPr>
            <w:r/>
            <w:r>
              <w:rPr>
                <w:rFonts w:ascii="Times New Roman" w:hAnsi="Times New Roman" w:cs="Times New Roman" w:eastAsia="Times New Roman"/>
                <w:b w:val="0"/>
                <w:i w:val="0"/>
                <w:sz w:val="18"/>
                <w:rtl/>
              </w:rPr>
              <w:t>الطرف المقابل (الاسم الكامل، رقم التسجيل، العنوان المسجَّل)</w:t>
            </w:r>
          </w:p>
        </w:tc>
        <w:tc>
          <w:tcPr>
            <w:tcW w:type="dxa" w:w="3118"/>
          </w:tcPr>
          <w:p>
            <w:pPr>
              <w:bidi/>
              <w:spacing w:after="20" w:before="20" w:line="240" w:lineRule="auto"/>
              <w:ind w:firstLine="0"/>
              <w:jc w:val="center"/>
            </w:pPr>
            <w:r/>
          </w:p>
        </w:tc>
      </w:tr>
      <w:tr>
        <w:tc>
          <w:tcPr>
            <w:tcW w:type="dxa" w:w="3118"/>
          </w:tcPr>
          <w:p>
            <w:pPr>
              <w:bidi/>
              <w:spacing w:after="20" w:before="20" w:line="240" w:lineRule="auto"/>
              <w:ind w:firstLine="0"/>
              <w:jc w:val="right"/>
            </w:pPr>
            <w:r/>
            <w:r>
              <w:rPr>
                <w:rFonts w:ascii="Times New Roman" w:hAnsi="Times New Roman" w:cs="Times New Roman" w:eastAsia="Times New Roman"/>
                <w:b w:val="0"/>
                <w:i w:val="0"/>
                <w:sz w:val="18"/>
                <w:rtl/>
              </w:rPr>
              <w:t>2</w:t>
            </w:r>
          </w:p>
        </w:tc>
        <w:tc>
          <w:tcPr>
            <w:tcW w:type="dxa" w:w="3118"/>
          </w:tcPr>
          <w:p>
            <w:pPr>
              <w:bidi/>
              <w:spacing w:after="20" w:before="20" w:line="240" w:lineRule="auto"/>
              <w:ind w:firstLine="0"/>
              <w:jc w:val="center"/>
            </w:pPr>
            <w:r/>
            <w:r>
              <w:rPr>
                <w:rFonts w:ascii="Times New Roman" w:hAnsi="Times New Roman" w:cs="Times New Roman" w:eastAsia="Times New Roman"/>
                <w:b w:val="0"/>
                <w:i w:val="0"/>
                <w:sz w:val="18"/>
                <w:rtl/>
              </w:rPr>
              <w:t>الصفة</w:t>
            </w:r>
          </w:p>
        </w:tc>
        <w:tc>
          <w:tcPr>
            <w:tcW w:type="dxa" w:w="3118"/>
          </w:tcPr>
          <w:p>
            <w:pPr>
              <w:bidi/>
              <w:spacing w:after="20" w:before="20" w:line="240" w:lineRule="auto"/>
              <w:ind w:firstLine="0"/>
              <w:jc w:val="center"/>
            </w:pPr>
            <w:r/>
            <w:r>
              <w:rPr>
                <w:rFonts w:ascii="Times New Roman" w:hAnsi="Times New Roman" w:cs="Times New Roman" w:eastAsia="Times New Roman"/>
                <w:b w:val="0"/>
                <w:i w:val="0"/>
                <w:sz w:val="18"/>
                <w:rtl/>
              </w:rPr>
              <w:t>عميل</w:t>
            </w:r>
          </w:p>
        </w:tc>
      </w:tr>
      <w:tr>
        <w:tc>
          <w:tcPr>
            <w:tcW w:type="dxa" w:w="3118"/>
          </w:tcPr>
          <w:p>
            <w:pPr>
              <w:bidi/>
              <w:spacing w:after="20" w:before="20" w:line="240" w:lineRule="auto"/>
              <w:ind w:firstLine="0"/>
              <w:jc w:val="right"/>
            </w:pPr>
            <w:r/>
            <w:r>
              <w:rPr>
                <w:rFonts w:ascii="Times New Roman" w:hAnsi="Times New Roman" w:cs="Times New Roman" w:eastAsia="Times New Roman"/>
                <w:b w:val="0"/>
                <w:i w:val="0"/>
                <w:sz w:val="18"/>
                <w:rtl/>
              </w:rPr>
              <w:t>3</w:t>
            </w:r>
          </w:p>
        </w:tc>
        <w:tc>
          <w:tcPr>
            <w:tcW w:type="dxa" w:w="3118"/>
          </w:tcPr>
          <w:p>
            <w:pPr>
              <w:bidi/>
              <w:spacing w:after="20" w:before="20" w:line="240" w:lineRule="auto"/>
              <w:ind w:firstLine="0"/>
              <w:jc w:val="center"/>
            </w:pPr>
            <w:r/>
            <w:r>
              <w:rPr>
                <w:rFonts w:ascii="Times New Roman" w:hAnsi="Times New Roman" w:cs="Times New Roman" w:eastAsia="Times New Roman"/>
                <w:b w:val="0"/>
                <w:i w:val="0"/>
                <w:sz w:val="18"/>
                <w:rtl/>
              </w:rPr>
              <w:t>الخطة</w:t>
            </w:r>
          </w:p>
        </w:tc>
        <w:tc>
          <w:tcPr>
            <w:tcW w:type="dxa" w:w="3118"/>
          </w:tcPr>
          <w:p>
            <w:pPr>
              <w:bidi/>
              <w:spacing w:after="20" w:before="20" w:line="240" w:lineRule="auto"/>
              <w:ind w:firstLine="0"/>
              <w:jc w:val="center"/>
            </w:pPr>
            <w:r/>
            <w:r>
              <w:rPr>
                <w:rFonts w:ascii="Times New Roman" w:hAnsi="Times New Roman" w:cs="Times New Roman" w:eastAsia="Times New Roman"/>
                <w:b w:val="0"/>
                <w:i w:val="0"/>
                <w:sz w:val="18"/>
                <w:rtl/>
              </w:rPr>
              <w:t>Lite / Starter / Professional / Enterprise</w:t>
            </w:r>
          </w:p>
        </w:tc>
      </w:tr>
      <w:tr>
        <w:tc>
          <w:tcPr>
            <w:tcW w:type="dxa" w:w="3118"/>
          </w:tcPr>
          <w:p>
            <w:pPr>
              <w:bidi/>
              <w:spacing w:after="20" w:before="20" w:line="240" w:lineRule="auto"/>
              <w:ind w:firstLine="0"/>
              <w:jc w:val="right"/>
            </w:pPr>
            <w:r/>
            <w:r>
              <w:rPr>
                <w:rFonts w:ascii="Times New Roman" w:hAnsi="Times New Roman" w:cs="Times New Roman" w:eastAsia="Times New Roman"/>
                <w:b w:val="0"/>
                <w:i w:val="0"/>
                <w:sz w:val="18"/>
                <w:rtl/>
              </w:rPr>
              <w:t>4</w:t>
            </w:r>
          </w:p>
        </w:tc>
        <w:tc>
          <w:tcPr>
            <w:tcW w:type="dxa" w:w="3118"/>
          </w:tcPr>
          <w:p>
            <w:pPr>
              <w:bidi/>
              <w:spacing w:after="20" w:before="20" w:line="240" w:lineRule="auto"/>
              <w:ind w:firstLine="0"/>
              <w:jc w:val="center"/>
            </w:pPr>
            <w:r/>
            <w:r>
              <w:rPr>
                <w:rFonts w:ascii="Times New Roman" w:hAnsi="Times New Roman" w:cs="Times New Roman" w:eastAsia="Times New Roman"/>
                <w:b w:val="0"/>
                <w:i w:val="0"/>
                <w:sz w:val="18"/>
                <w:rtl/>
              </w:rPr>
              <w:t>نموذج النشر</w:t>
            </w:r>
          </w:p>
        </w:tc>
        <w:tc>
          <w:tcPr>
            <w:tcW w:type="dxa" w:w="3118"/>
          </w:tcPr>
          <w:p>
            <w:pPr>
              <w:bidi/>
              <w:spacing w:after="20" w:before="20" w:line="240" w:lineRule="auto"/>
              <w:ind w:firstLine="0"/>
              <w:jc w:val="center"/>
            </w:pPr>
            <w:r/>
            <w:r>
              <w:rPr>
                <w:rFonts w:ascii="Times New Roman" w:hAnsi="Times New Roman" w:cs="Times New Roman" w:eastAsia="Times New Roman"/>
                <w:b w:val="0"/>
                <w:i w:val="0"/>
                <w:sz w:val="18"/>
                <w:rtl/>
              </w:rPr>
              <w:t>سحابة مُدارة / On-Premise</w:t>
            </w:r>
          </w:p>
        </w:tc>
      </w:tr>
      <w:tr>
        <w:tc>
          <w:tcPr>
            <w:tcW w:type="dxa" w:w="3118"/>
          </w:tcPr>
          <w:p>
            <w:pPr>
              <w:bidi/>
              <w:spacing w:after="20" w:before="20" w:line="240" w:lineRule="auto"/>
              <w:ind w:firstLine="0"/>
              <w:jc w:val="right"/>
            </w:pPr>
            <w:r/>
            <w:r>
              <w:rPr>
                <w:rFonts w:ascii="Times New Roman" w:hAnsi="Times New Roman" w:cs="Times New Roman" w:eastAsia="Times New Roman"/>
                <w:b w:val="0"/>
                <w:i w:val="0"/>
                <w:sz w:val="18"/>
                <w:rtl/>
              </w:rPr>
              <w:t>5</w:t>
            </w:r>
          </w:p>
        </w:tc>
        <w:tc>
          <w:tcPr>
            <w:tcW w:type="dxa" w:w="3118"/>
          </w:tcPr>
          <w:p>
            <w:pPr>
              <w:bidi/>
              <w:spacing w:after="20" w:before="20" w:line="240" w:lineRule="auto"/>
              <w:ind w:firstLine="0"/>
              <w:jc w:val="center"/>
            </w:pPr>
            <w:r/>
            <w:r>
              <w:rPr>
                <w:rFonts w:ascii="Times New Roman" w:hAnsi="Times New Roman" w:cs="Times New Roman" w:eastAsia="Times New Roman"/>
                <w:b w:val="0"/>
                <w:i w:val="0"/>
                <w:sz w:val="18"/>
                <w:rtl/>
              </w:rPr>
              <w:t>المواقع (الاسم، العنوان)</w:t>
            </w:r>
          </w:p>
        </w:tc>
        <w:tc>
          <w:tcPr>
            <w:tcW w:type="dxa" w:w="3118"/>
          </w:tcPr>
          <w:p>
            <w:pPr>
              <w:bidi/>
              <w:spacing w:after="20" w:before="20" w:line="240" w:lineRule="auto"/>
              <w:ind w:firstLine="0"/>
              <w:jc w:val="center"/>
            </w:pPr>
            <w:r/>
          </w:p>
        </w:tc>
      </w:tr>
      <w:tr>
        <w:tc>
          <w:tcPr>
            <w:tcW w:type="dxa" w:w="3118"/>
          </w:tcPr>
          <w:p>
            <w:pPr>
              <w:bidi/>
              <w:spacing w:after="20" w:before="20" w:line="240" w:lineRule="auto"/>
              <w:ind w:firstLine="0"/>
              <w:jc w:val="right"/>
            </w:pPr>
            <w:r/>
            <w:r>
              <w:rPr>
                <w:rFonts w:ascii="Times New Roman" w:hAnsi="Times New Roman" w:cs="Times New Roman" w:eastAsia="Times New Roman"/>
                <w:b w:val="0"/>
                <w:i w:val="0"/>
                <w:sz w:val="18"/>
                <w:rtl/>
              </w:rPr>
              <w:t>6</w:t>
            </w:r>
          </w:p>
        </w:tc>
        <w:tc>
          <w:tcPr>
            <w:tcW w:type="dxa" w:w="3118"/>
          </w:tcPr>
          <w:p>
            <w:pPr>
              <w:bidi/>
              <w:spacing w:after="20" w:before="20" w:line="240" w:lineRule="auto"/>
              <w:ind w:firstLine="0"/>
              <w:jc w:val="center"/>
            </w:pPr>
            <w:r/>
            <w:r>
              <w:rPr>
                <w:rFonts w:ascii="Times New Roman" w:hAnsi="Times New Roman" w:cs="Times New Roman" w:eastAsia="Times New Roman"/>
                <w:b w:val="0"/>
                <w:i w:val="0"/>
                <w:sz w:val="18"/>
                <w:rtl/>
              </w:rPr>
              <w:t>عدد الآلات المشمولة</w:t>
            </w:r>
          </w:p>
        </w:tc>
        <w:tc>
          <w:tcPr>
            <w:tcW w:type="dxa" w:w="3118"/>
          </w:tcPr>
          <w:p>
            <w:pPr>
              <w:bidi/>
              <w:spacing w:after="20" w:before="20" w:line="240" w:lineRule="auto"/>
              <w:ind w:firstLine="0"/>
              <w:jc w:val="center"/>
            </w:pPr>
            <w:r/>
          </w:p>
        </w:tc>
      </w:tr>
      <w:tr>
        <w:tc>
          <w:tcPr>
            <w:tcW w:type="dxa" w:w="3118"/>
          </w:tcPr>
          <w:p>
            <w:pPr>
              <w:bidi/>
              <w:spacing w:after="20" w:before="20" w:line="240" w:lineRule="auto"/>
              <w:ind w:firstLine="0"/>
              <w:jc w:val="right"/>
            </w:pPr>
            <w:r/>
            <w:r>
              <w:rPr>
                <w:rFonts w:ascii="Times New Roman" w:hAnsi="Times New Roman" w:cs="Times New Roman" w:eastAsia="Times New Roman"/>
                <w:b w:val="0"/>
                <w:i w:val="0"/>
                <w:sz w:val="18"/>
                <w:rtl/>
              </w:rPr>
              <w:t>7</w:t>
            </w:r>
          </w:p>
        </w:tc>
        <w:tc>
          <w:tcPr>
            <w:tcW w:type="dxa" w:w="3118"/>
          </w:tcPr>
          <w:p>
            <w:pPr>
              <w:bidi/>
              <w:spacing w:after="20" w:before="20" w:line="240" w:lineRule="auto"/>
              <w:ind w:firstLine="0"/>
              <w:jc w:val="center"/>
            </w:pPr>
            <w:r/>
            <w:r>
              <w:rPr>
                <w:rFonts w:ascii="Times New Roman" w:hAnsi="Times New Roman" w:cs="Times New Roman" w:eastAsia="Times New Roman"/>
                <w:b w:val="0"/>
                <w:i w:val="0"/>
                <w:sz w:val="18"/>
                <w:rtl/>
              </w:rPr>
              <w:t>عدد الأجهزة</w:t>
            </w:r>
          </w:p>
        </w:tc>
        <w:tc>
          <w:tcPr>
            <w:tcW w:type="dxa" w:w="3118"/>
          </w:tcPr>
          <w:p>
            <w:pPr>
              <w:bidi/>
              <w:spacing w:after="20" w:before="20" w:line="240" w:lineRule="auto"/>
              <w:ind w:firstLine="0"/>
              <w:jc w:val="center"/>
            </w:pPr>
            <w:r/>
          </w:p>
        </w:tc>
      </w:tr>
      <w:tr>
        <w:tc>
          <w:tcPr>
            <w:tcW w:type="dxa" w:w="3118"/>
          </w:tcPr>
          <w:p>
            <w:pPr>
              <w:bidi/>
              <w:spacing w:after="20" w:before="20" w:line="240" w:lineRule="auto"/>
              <w:ind w:firstLine="0"/>
              <w:jc w:val="right"/>
            </w:pPr>
            <w:r/>
            <w:r>
              <w:rPr>
                <w:rFonts w:ascii="Times New Roman" w:hAnsi="Times New Roman" w:cs="Times New Roman" w:eastAsia="Times New Roman"/>
                <w:b w:val="0"/>
                <w:i w:val="0"/>
                <w:sz w:val="18"/>
                <w:rtl/>
              </w:rPr>
              <w:t>8</w:t>
            </w:r>
          </w:p>
        </w:tc>
        <w:tc>
          <w:tcPr>
            <w:tcW w:type="dxa" w:w="3118"/>
          </w:tcPr>
          <w:p>
            <w:pPr>
              <w:bidi/>
              <w:spacing w:after="20" w:before="20" w:line="240" w:lineRule="auto"/>
              <w:ind w:firstLine="0"/>
              <w:jc w:val="center"/>
            </w:pPr>
            <w:r/>
            <w:r>
              <w:rPr>
                <w:rFonts w:ascii="Times New Roman" w:hAnsi="Times New Roman" w:cs="Times New Roman" w:eastAsia="Times New Roman"/>
                <w:b w:val="0"/>
                <w:i w:val="0"/>
                <w:sz w:val="18"/>
                <w:rtl/>
              </w:rPr>
              <w:t>الخيارات (تكاملات، منطق مخصَّص، غير ذلك)</w:t>
            </w:r>
          </w:p>
        </w:tc>
        <w:tc>
          <w:tcPr>
            <w:tcW w:type="dxa" w:w="3118"/>
          </w:tcPr>
          <w:p>
            <w:pPr>
              <w:bidi/>
              <w:spacing w:after="20" w:before="20" w:line="240" w:lineRule="auto"/>
              <w:ind w:firstLine="0"/>
              <w:jc w:val="center"/>
            </w:pPr>
            <w:r/>
          </w:p>
        </w:tc>
      </w:tr>
      <w:tr>
        <w:tc>
          <w:tcPr>
            <w:tcW w:type="dxa" w:w="3118"/>
          </w:tcPr>
          <w:p>
            <w:pPr>
              <w:bidi/>
              <w:spacing w:after="20" w:before="20" w:line="240" w:lineRule="auto"/>
              <w:ind w:firstLine="0"/>
              <w:jc w:val="right"/>
            </w:pPr>
            <w:r/>
            <w:r>
              <w:rPr>
                <w:rFonts w:ascii="Times New Roman" w:hAnsi="Times New Roman" w:cs="Times New Roman" w:eastAsia="Times New Roman"/>
                <w:b w:val="0"/>
                <w:i w:val="0"/>
                <w:sz w:val="18"/>
                <w:rtl/>
              </w:rPr>
              <w:t>9</w:t>
            </w:r>
          </w:p>
        </w:tc>
        <w:tc>
          <w:tcPr>
            <w:tcW w:type="dxa" w:w="3118"/>
          </w:tcPr>
          <w:p>
            <w:pPr>
              <w:bidi/>
              <w:spacing w:after="20" w:before="20" w:line="240" w:lineRule="auto"/>
              <w:ind w:firstLine="0"/>
              <w:jc w:val="center"/>
            </w:pPr>
            <w:r/>
            <w:r>
              <w:rPr>
                <w:rFonts w:ascii="Times New Roman" w:hAnsi="Times New Roman" w:cs="Times New Roman" w:eastAsia="Times New Roman"/>
                <w:b w:val="0"/>
                <w:i w:val="0"/>
                <w:sz w:val="18"/>
                <w:rtl/>
              </w:rPr>
              <w:t>مدة الترخيص (البداية — النهاية)</w:t>
            </w:r>
          </w:p>
        </w:tc>
        <w:tc>
          <w:tcPr>
            <w:tcW w:type="dxa" w:w="3118"/>
          </w:tcPr>
          <w:p>
            <w:pPr>
              <w:bidi/>
              <w:spacing w:after="20" w:before="20" w:line="240" w:lineRule="auto"/>
              <w:ind w:firstLine="0"/>
              <w:jc w:val="center"/>
            </w:pPr>
            <w:r/>
          </w:p>
        </w:tc>
      </w:tr>
      <w:tr>
        <w:tc>
          <w:tcPr>
            <w:tcW w:type="dxa" w:w="3118"/>
          </w:tcPr>
          <w:p>
            <w:pPr>
              <w:bidi/>
              <w:spacing w:after="20" w:before="20" w:line="240" w:lineRule="auto"/>
              <w:ind w:firstLine="0"/>
              <w:jc w:val="right"/>
            </w:pPr>
            <w:r/>
            <w:r>
              <w:rPr>
                <w:rFonts w:ascii="Times New Roman" w:hAnsi="Times New Roman" w:cs="Times New Roman" w:eastAsia="Times New Roman"/>
                <w:b w:val="0"/>
                <w:i w:val="0"/>
                <w:sz w:val="18"/>
                <w:rtl/>
              </w:rPr>
              <w:t>10</w:t>
            </w:r>
          </w:p>
        </w:tc>
        <w:tc>
          <w:tcPr>
            <w:tcW w:type="dxa" w:w="3118"/>
          </w:tcPr>
          <w:p>
            <w:pPr>
              <w:bidi/>
              <w:spacing w:after="20" w:before="20" w:line="240" w:lineRule="auto"/>
              <w:ind w:firstLine="0"/>
              <w:jc w:val="center"/>
            </w:pPr>
            <w:r/>
            <w:r>
              <w:rPr>
                <w:rFonts w:ascii="Times New Roman" w:hAnsi="Times New Roman" w:cs="Times New Roman" w:eastAsia="Times New Roman"/>
                <w:b w:val="0"/>
                <w:i w:val="0"/>
                <w:sz w:val="18"/>
                <w:rtl/>
              </w:rPr>
              <w:t>فترة الاحتساب</w:t>
            </w:r>
          </w:p>
        </w:tc>
        <w:tc>
          <w:tcPr>
            <w:tcW w:type="dxa" w:w="3118"/>
          </w:tcPr>
          <w:p>
            <w:pPr>
              <w:bidi/>
              <w:spacing w:after="20" w:before="20" w:line="240" w:lineRule="auto"/>
              <w:ind w:firstLine="0"/>
              <w:jc w:val="center"/>
            </w:pPr>
            <w:r/>
            <w:r>
              <w:rPr>
                <w:rFonts w:ascii="Times New Roman" w:hAnsi="Times New Roman" w:cs="Times New Roman" w:eastAsia="Times New Roman"/>
                <w:b w:val="0"/>
                <w:i w:val="0"/>
                <w:sz w:val="18"/>
                <w:rtl/>
              </w:rPr>
              <w:t>شهرية / سنوية</w:t>
            </w:r>
          </w:p>
        </w:tc>
      </w:tr>
      <w:tr>
        <w:tc>
          <w:tcPr>
            <w:tcW w:type="dxa" w:w="3118"/>
          </w:tcPr>
          <w:p>
            <w:pPr>
              <w:bidi/>
              <w:spacing w:after="20" w:before="20" w:line="240" w:lineRule="auto"/>
              <w:ind w:firstLine="0"/>
              <w:jc w:val="right"/>
            </w:pPr>
            <w:r/>
            <w:r>
              <w:rPr>
                <w:rFonts w:ascii="Times New Roman" w:hAnsi="Times New Roman" w:cs="Times New Roman" w:eastAsia="Times New Roman"/>
                <w:b w:val="0"/>
                <w:i w:val="0"/>
                <w:sz w:val="18"/>
                <w:rtl/>
              </w:rPr>
              <w:t>11</w:t>
            </w:r>
          </w:p>
        </w:tc>
        <w:tc>
          <w:tcPr>
            <w:tcW w:type="dxa" w:w="3118"/>
          </w:tcPr>
          <w:p>
            <w:pPr>
              <w:bidi/>
              <w:spacing w:after="20" w:before="20" w:line="240" w:lineRule="auto"/>
              <w:ind w:firstLine="0"/>
              <w:jc w:val="center"/>
            </w:pPr>
            <w:r/>
            <w:r>
              <w:rPr>
                <w:rFonts w:ascii="Times New Roman" w:hAnsi="Times New Roman" w:cs="Times New Roman" w:eastAsia="Times New Roman"/>
                <w:b w:val="0"/>
                <w:i w:val="0"/>
                <w:sz w:val="18"/>
                <w:rtl/>
              </w:rPr>
              <w:t>التجديد التلقائي</w:t>
            </w:r>
          </w:p>
        </w:tc>
        <w:tc>
          <w:tcPr>
            <w:tcW w:type="dxa" w:w="3118"/>
          </w:tcPr>
          <w:p>
            <w:pPr>
              <w:bidi/>
              <w:spacing w:after="20" w:before="20" w:line="240" w:lineRule="auto"/>
              <w:ind w:firstLine="0"/>
              <w:jc w:val="center"/>
            </w:pPr>
            <w:r/>
            <w:r>
              <w:rPr>
                <w:rFonts w:ascii="Times New Roman" w:hAnsi="Times New Roman" w:cs="Times New Roman" w:eastAsia="Times New Roman"/>
                <w:b w:val="0"/>
                <w:i w:val="0"/>
                <w:sz w:val="18"/>
                <w:rtl/>
              </w:rPr>
              <w:t>نعم / لا</w:t>
            </w:r>
          </w:p>
        </w:tc>
      </w:tr>
      <w:tr>
        <w:tc>
          <w:tcPr>
            <w:tcW w:type="dxa" w:w="3118"/>
          </w:tcPr>
          <w:p>
            <w:pPr>
              <w:bidi/>
              <w:spacing w:after="20" w:before="20" w:line="240" w:lineRule="auto"/>
              <w:ind w:firstLine="0"/>
              <w:jc w:val="right"/>
            </w:pPr>
            <w:r/>
            <w:r>
              <w:rPr>
                <w:rFonts w:ascii="Times New Roman" w:hAnsi="Times New Roman" w:cs="Times New Roman" w:eastAsia="Times New Roman"/>
                <w:b w:val="0"/>
                <w:i w:val="0"/>
                <w:sz w:val="18"/>
                <w:rtl/>
              </w:rPr>
              <w:t>12</w:t>
            </w:r>
          </w:p>
        </w:tc>
        <w:tc>
          <w:tcPr>
            <w:tcW w:type="dxa" w:w="3118"/>
          </w:tcPr>
          <w:p>
            <w:pPr>
              <w:bidi/>
              <w:spacing w:after="20" w:before="20" w:line="240" w:lineRule="auto"/>
              <w:ind w:firstLine="0"/>
              <w:jc w:val="center"/>
            </w:pPr>
            <w:r/>
            <w:r>
              <w:rPr>
                <w:rFonts w:ascii="Times New Roman" w:hAnsi="Times New Roman" w:cs="Times New Roman" w:eastAsia="Times New Roman"/>
                <w:b w:val="0"/>
                <w:i w:val="0"/>
                <w:sz w:val="18"/>
                <w:rtl/>
              </w:rPr>
              <w:t>المقابل لكل فترة احتساب</w:t>
            </w:r>
          </w:p>
        </w:tc>
        <w:tc>
          <w:tcPr>
            <w:tcW w:type="dxa" w:w="3118"/>
          </w:tcPr>
          <w:p>
            <w:pPr>
              <w:bidi/>
              <w:spacing w:after="20" w:before="20" w:line="240" w:lineRule="auto"/>
              <w:ind w:firstLine="0"/>
              <w:jc w:val="center"/>
            </w:pPr>
            <w:r/>
          </w:p>
        </w:tc>
      </w:tr>
      <w:tr>
        <w:tc>
          <w:tcPr>
            <w:tcW w:type="dxa" w:w="3118"/>
          </w:tcPr>
          <w:p>
            <w:pPr>
              <w:bidi/>
              <w:spacing w:after="20" w:before="20" w:line="240" w:lineRule="auto"/>
              <w:ind w:firstLine="0"/>
              <w:jc w:val="right"/>
            </w:pPr>
            <w:r/>
            <w:r>
              <w:rPr>
                <w:rFonts w:ascii="Times New Roman" w:hAnsi="Times New Roman" w:cs="Times New Roman" w:eastAsia="Times New Roman"/>
                <w:b w:val="0"/>
                <w:i w:val="0"/>
                <w:sz w:val="18"/>
                <w:rtl/>
              </w:rPr>
              <w:t>13</w:t>
            </w:r>
          </w:p>
        </w:tc>
        <w:tc>
          <w:tcPr>
            <w:tcW w:type="dxa" w:w="3118"/>
          </w:tcPr>
          <w:p>
            <w:pPr>
              <w:bidi/>
              <w:spacing w:after="20" w:before="20" w:line="240" w:lineRule="auto"/>
              <w:ind w:firstLine="0"/>
              <w:jc w:val="center"/>
            </w:pPr>
            <w:r/>
            <w:r>
              <w:rPr>
                <w:rFonts w:ascii="Times New Roman" w:hAnsi="Times New Roman" w:cs="Times New Roman" w:eastAsia="Times New Roman"/>
                <w:b w:val="0"/>
                <w:i w:val="0"/>
                <w:sz w:val="18"/>
                <w:rtl/>
              </w:rPr>
              <w:t>شروط الدفع</w:t>
            </w:r>
          </w:p>
        </w:tc>
        <w:tc>
          <w:tcPr>
            <w:tcW w:type="dxa" w:w="3118"/>
          </w:tcPr>
          <w:p>
            <w:pPr>
              <w:bidi/>
              <w:spacing w:after="20" w:before="20" w:line="240" w:lineRule="auto"/>
              <w:ind w:firstLine="0"/>
              <w:jc w:val="center"/>
            </w:pPr>
            <w:r/>
          </w:p>
        </w:tc>
      </w:tr>
      <w:tr>
        <w:tc>
          <w:tcPr>
            <w:tcW w:type="dxa" w:w="3118"/>
          </w:tcPr>
          <w:p>
            <w:pPr>
              <w:bidi/>
              <w:spacing w:after="20" w:before="20" w:line="240" w:lineRule="auto"/>
              <w:ind w:firstLine="0"/>
              <w:jc w:val="right"/>
            </w:pPr>
            <w:r/>
            <w:r>
              <w:rPr>
                <w:rFonts w:ascii="Times New Roman" w:hAnsi="Times New Roman" w:cs="Times New Roman" w:eastAsia="Times New Roman"/>
                <w:b w:val="0"/>
                <w:i w:val="0"/>
                <w:sz w:val="18"/>
                <w:rtl/>
              </w:rPr>
              <w:t>14</w:t>
            </w:r>
          </w:p>
        </w:tc>
        <w:tc>
          <w:tcPr>
            <w:tcW w:type="dxa" w:w="3118"/>
          </w:tcPr>
          <w:p>
            <w:pPr>
              <w:bidi/>
              <w:spacing w:after="20" w:before="20" w:line="240" w:lineRule="auto"/>
              <w:ind w:firstLine="0"/>
              <w:jc w:val="center"/>
            </w:pPr>
            <w:r/>
            <w:r>
              <w:rPr>
                <w:rFonts w:ascii="Times New Roman" w:hAnsi="Times New Roman" w:cs="Times New Roman" w:eastAsia="Times New Roman"/>
                <w:b w:val="0"/>
                <w:i w:val="0"/>
                <w:sz w:val="18"/>
                <w:rtl/>
              </w:rPr>
              <w:t>العملة</w:t>
            </w:r>
          </w:p>
        </w:tc>
        <w:tc>
          <w:tcPr>
            <w:tcW w:type="dxa" w:w="3118"/>
          </w:tcPr>
          <w:p>
            <w:pPr>
              <w:bidi/>
              <w:spacing w:after="20" w:before="20" w:line="240" w:lineRule="auto"/>
              <w:ind w:firstLine="0"/>
              <w:jc w:val="center"/>
            </w:pPr>
            <w:r/>
            <w:r>
              <w:rPr>
                <w:rFonts w:ascii="Times New Roman" w:hAnsi="Times New Roman" w:cs="Times New Roman" w:eastAsia="Times New Roman"/>
                <w:b w:val="0"/>
                <w:i w:val="0"/>
                <w:sz w:val="18"/>
                <w:rtl/>
              </w:rPr>
              <w:t>USD / EUR / غير ذلك</w:t>
            </w:r>
          </w:p>
        </w:tc>
      </w:tr>
      <w:tr>
        <w:tc>
          <w:tcPr>
            <w:tcW w:type="dxa" w:w="3118"/>
          </w:tcPr>
          <w:p>
            <w:pPr>
              <w:bidi/>
              <w:spacing w:after="20" w:before="20" w:line="240" w:lineRule="auto"/>
              <w:ind w:firstLine="0"/>
              <w:jc w:val="right"/>
            </w:pPr>
            <w:r/>
            <w:r>
              <w:rPr>
                <w:rFonts w:ascii="Times New Roman" w:hAnsi="Times New Roman" w:cs="Times New Roman" w:eastAsia="Times New Roman"/>
                <w:b w:val="0"/>
                <w:i w:val="0"/>
                <w:sz w:val="18"/>
                <w:rtl/>
              </w:rPr>
              <w:t>15</w:t>
            </w:r>
          </w:p>
        </w:tc>
        <w:tc>
          <w:tcPr>
            <w:tcW w:type="dxa" w:w="3118"/>
          </w:tcPr>
          <w:p>
            <w:pPr>
              <w:bidi/>
              <w:spacing w:after="20" w:before="20" w:line="240" w:lineRule="auto"/>
              <w:ind w:firstLine="0"/>
              <w:jc w:val="center"/>
            </w:pPr>
            <w:r/>
            <w:r>
              <w:rPr>
                <w:rFonts w:ascii="Times New Roman" w:hAnsi="Times New Roman" w:cs="Times New Roman" w:eastAsia="Times New Roman"/>
                <w:b w:val="0"/>
                <w:i w:val="0"/>
                <w:sz w:val="18"/>
                <w:rtl/>
              </w:rPr>
              <w:t>إقليم الاستضافة (سحابة مُدارة)</w:t>
            </w:r>
          </w:p>
        </w:tc>
        <w:tc>
          <w:tcPr>
            <w:tcW w:type="dxa" w:w="3118"/>
          </w:tcPr>
          <w:p>
            <w:pPr>
              <w:bidi/>
              <w:spacing w:after="20" w:before="20" w:line="240" w:lineRule="auto"/>
              <w:ind w:firstLine="0"/>
              <w:jc w:val="center"/>
            </w:pPr>
            <w:r/>
          </w:p>
        </w:tc>
      </w:tr>
      <w:tr>
        <w:tc>
          <w:tcPr>
            <w:tcW w:type="dxa" w:w="3118"/>
          </w:tcPr>
          <w:p>
            <w:pPr>
              <w:bidi/>
              <w:spacing w:after="20" w:before="20" w:line="240" w:lineRule="auto"/>
              <w:ind w:firstLine="0"/>
              <w:jc w:val="right"/>
            </w:pPr>
            <w:r/>
            <w:r>
              <w:rPr>
                <w:rFonts w:ascii="Times New Roman" w:hAnsi="Times New Roman" w:cs="Times New Roman" w:eastAsia="Times New Roman"/>
                <w:b w:val="0"/>
                <w:i w:val="0"/>
                <w:sz w:val="18"/>
                <w:rtl/>
              </w:rPr>
              <w:t>16</w:t>
            </w:r>
          </w:p>
        </w:tc>
        <w:tc>
          <w:tcPr>
            <w:tcW w:type="dxa" w:w="3118"/>
          </w:tcPr>
          <w:p>
            <w:pPr>
              <w:bidi/>
              <w:spacing w:after="20" w:before="20" w:line="240" w:lineRule="auto"/>
              <w:ind w:firstLine="0"/>
              <w:jc w:val="center"/>
            </w:pPr>
            <w:r/>
            <w:r>
              <w:rPr>
                <w:rFonts w:ascii="Times New Roman" w:hAnsi="Times New Roman" w:cs="Times New Roman" w:eastAsia="Times New Roman"/>
                <w:b w:val="0"/>
                <w:i w:val="0"/>
                <w:sz w:val="18"/>
                <w:rtl/>
              </w:rPr>
              <w:t>التنفيذ والدعم</w:t>
            </w:r>
          </w:p>
        </w:tc>
        <w:tc>
          <w:tcPr>
            <w:tcW w:type="dxa" w:w="3118"/>
          </w:tcPr>
          <w:p>
            <w:pPr>
              <w:bidi/>
              <w:spacing w:after="20" w:before="20" w:line="240" w:lineRule="auto"/>
              <w:ind w:firstLine="0"/>
              <w:jc w:val="center"/>
            </w:pPr>
            <w:r/>
            <w:r>
              <w:rPr>
                <w:rFonts w:ascii="Times New Roman" w:hAnsi="Times New Roman" w:cs="Times New Roman" w:eastAsia="Times New Roman"/>
                <w:b w:val="0"/>
                <w:i w:val="0"/>
                <w:sz w:val="18"/>
                <w:rtl/>
              </w:rPr>
              <w:t>المرخِّص</w:t>
            </w:r>
          </w:p>
        </w:tc>
      </w:tr>
      <w:tr>
        <w:tc>
          <w:tcPr>
            <w:tcW w:type="dxa" w:w="3118"/>
          </w:tcPr>
          <w:p>
            <w:pPr>
              <w:bidi/>
              <w:spacing w:after="20" w:before="20" w:line="240" w:lineRule="auto"/>
              <w:ind w:firstLine="0"/>
              <w:jc w:val="right"/>
            </w:pPr>
            <w:r/>
            <w:r>
              <w:rPr>
                <w:rFonts w:ascii="Times New Roman" w:hAnsi="Times New Roman" w:cs="Times New Roman" w:eastAsia="Times New Roman"/>
                <w:b w:val="0"/>
                <w:i w:val="0"/>
                <w:sz w:val="18"/>
                <w:rtl/>
              </w:rPr>
              <w:t>17</w:t>
            </w:r>
          </w:p>
        </w:tc>
        <w:tc>
          <w:tcPr>
            <w:tcW w:type="dxa" w:w="3118"/>
          </w:tcPr>
          <w:p>
            <w:pPr>
              <w:bidi/>
              <w:spacing w:after="20" w:before="20" w:line="240" w:lineRule="auto"/>
              <w:ind w:firstLine="0"/>
              <w:jc w:val="center"/>
            </w:pPr>
            <w:r/>
            <w:r>
              <w:rPr>
                <w:rFonts w:ascii="Times New Roman" w:hAnsi="Times New Roman" w:cs="Times New Roman" w:eastAsia="Times New Roman"/>
                <w:b w:val="0"/>
                <w:i w:val="0"/>
                <w:sz w:val="18"/>
                <w:rtl/>
              </w:rPr>
              <w:t>جهة اتصال الطرف المقابل (الاسم، المنصب، الهاتف، البريد)</w:t>
            </w:r>
          </w:p>
        </w:tc>
        <w:tc>
          <w:tcPr>
            <w:tcW w:type="dxa" w:w="3118"/>
          </w:tcPr>
          <w:p>
            <w:pPr>
              <w:bidi/>
              <w:spacing w:after="20" w:before="20" w:line="240" w:lineRule="auto"/>
              <w:ind w:firstLine="0"/>
              <w:jc w:val="center"/>
            </w:pPr>
            <w:r/>
          </w:p>
        </w:tc>
      </w:tr>
      <w:tr>
        <w:tc>
          <w:tcPr>
            <w:tcW w:type="dxa" w:w="3118"/>
          </w:tcPr>
          <w:p>
            <w:pPr>
              <w:bidi/>
              <w:spacing w:after="20" w:before="20" w:line="240" w:lineRule="auto"/>
              <w:ind w:firstLine="0"/>
              <w:jc w:val="right"/>
            </w:pPr>
            <w:r/>
            <w:r>
              <w:rPr>
                <w:rFonts w:ascii="Times New Roman" w:hAnsi="Times New Roman" w:cs="Times New Roman" w:eastAsia="Times New Roman"/>
                <w:b w:val="0"/>
                <w:i w:val="0"/>
                <w:sz w:val="18"/>
                <w:rtl/>
              </w:rPr>
              <w:t>18</w:t>
            </w:r>
          </w:p>
        </w:tc>
        <w:tc>
          <w:tcPr>
            <w:tcW w:type="dxa" w:w="3118"/>
          </w:tcPr>
          <w:p>
            <w:pPr>
              <w:bidi/>
              <w:spacing w:after="20" w:before="20" w:line="240" w:lineRule="auto"/>
              <w:ind w:firstLine="0"/>
              <w:jc w:val="center"/>
            </w:pPr>
            <w:r/>
            <w:r>
              <w:rPr>
                <w:rFonts w:ascii="Times New Roman" w:hAnsi="Times New Roman" w:cs="Times New Roman" w:eastAsia="Times New Roman"/>
                <w:b w:val="0"/>
                <w:i w:val="0"/>
                <w:sz w:val="18"/>
                <w:rtl/>
              </w:rPr>
              <w:t>البريد الإلكتروني للإخطارات الرسمية</w:t>
            </w:r>
          </w:p>
        </w:tc>
        <w:tc>
          <w:tcPr>
            <w:tcW w:type="dxa" w:w="3118"/>
          </w:tcPr>
          <w:p>
            <w:pPr>
              <w:bidi/>
              <w:spacing w:after="20" w:before="20" w:line="240" w:lineRule="auto"/>
              <w:ind w:firstLine="0"/>
              <w:jc w:val="center"/>
            </w:pPr>
            <w:r/>
          </w:p>
        </w:tc>
      </w:tr>
      <w:tr>
        <w:tc>
          <w:tcPr>
            <w:tcW w:type="dxa" w:w="3118"/>
          </w:tcPr>
          <w:p>
            <w:pPr>
              <w:bidi/>
              <w:spacing w:after="20" w:before="20" w:line="240" w:lineRule="auto"/>
              <w:ind w:firstLine="0"/>
              <w:jc w:val="right"/>
            </w:pPr>
            <w:r/>
            <w:r>
              <w:rPr>
                <w:rFonts w:ascii="Times New Roman" w:hAnsi="Times New Roman" w:cs="Times New Roman" w:eastAsia="Times New Roman"/>
                <w:b w:val="0"/>
                <w:i w:val="0"/>
                <w:sz w:val="18"/>
                <w:rtl/>
              </w:rPr>
              <w:t>19</w:t>
            </w:r>
          </w:p>
        </w:tc>
        <w:tc>
          <w:tcPr>
            <w:tcW w:type="dxa" w:w="3118"/>
          </w:tcPr>
          <w:p>
            <w:pPr>
              <w:bidi/>
              <w:spacing w:after="20" w:before="20" w:line="240" w:lineRule="auto"/>
              <w:ind w:firstLine="0"/>
              <w:jc w:val="center"/>
            </w:pPr>
            <w:r/>
            <w:r>
              <w:rPr>
                <w:rFonts w:ascii="Times New Roman" w:hAnsi="Times New Roman" w:cs="Times New Roman" w:eastAsia="Times New Roman"/>
                <w:b w:val="0"/>
                <w:i w:val="0"/>
                <w:sz w:val="18"/>
                <w:rtl/>
              </w:rPr>
              <w:t>شروط خاصة</w:t>
            </w:r>
          </w:p>
        </w:tc>
        <w:tc>
          <w:tcPr>
            <w:tcW w:type="dxa" w:w="3118"/>
          </w:tcPr>
          <w:p>
            <w:pPr>
              <w:bidi/>
              <w:spacing w:after="20" w:before="20" w:line="240" w:lineRule="auto"/>
              <w:ind w:firstLine="0"/>
              <w:jc w:val="center"/>
            </w:pPr>
            <w:r/>
          </w:p>
        </w:tc>
      </w:tr>
    </w:tbl>
    <w:p>
      <w:pPr>
        <w:spacing w:after="80"/>
      </w:pPr>
    </w:p>
    <w:p>
      <w:r>
        <w:rPr>
          <w:rFonts w:ascii="Times New Roman" w:hAnsi="Times New Roman" w:cs="Times New Roman" w:eastAsia="Times New Roman"/>
          <w:b w:val="0"/>
          <w:i w:val="0"/>
          <w:sz w:val="22"/>
          <w:rtl/>
        </w:rPr>
        <w:t>بالتوقيع على استمارة الطلب هذه، أو بسداد فاتورة صادرة استنادًا إليها، يقبل الطرف المقابل شروط ترخيص ARSY AI بالنسخة المبيَّنة كاملةً.</w:t>
      </w:r>
    </w:p>
    <w:p>
      <w:r>
        <w:rPr>
          <w:rFonts w:ascii="Times New Roman" w:hAnsi="Times New Roman" w:cs="Times New Roman" w:eastAsia="Times New Roman"/>
          <w:b/>
          <w:i w:val="0"/>
          <w:sz w:val="22"/>
          <w:rtl/>
        </w:rPr>
        <w:t>المرخِّص:</w:t>
      </w:r>
      <w:r>
        <w:rPr>
          <w:rFonts w:ascii="Times New Roman" w:hAnsi="Times New Roman" w:cs="Times New Roman" w:eastAsia="Times New Roman"/>
          <w:b w:val="0"/>
          <w:i w:val="0"/>
          <w:sz w:val="22"/>
          <w:rtl/>
        </w:rPr>
        <w:t xml:space="preserve"> ____________________ / ____________ / </w:t>
      </w:r>
      <w:r>
        <w:rPr>
          <w:rFonts w:ascii="Times New Roman" w:hAnsi="Times New Roman" w:cs="Times New Roman" w:eastAsia="Times New Roman"/>
          <w:b/>
          <w:i w:val="0"/>
          <w:sz w:val="22"/>
          <w:rtl/>
        </w:rPr>
        <w:t>الطرف المقابل:</w:t>
      </w:r>
      <w:r>
        <w:rPr>
          <w:rFonts w:ascii="Times New Roman" w:hAnsi="Times New Roman" w:cs="Times New Roman" w:eastAsia="Times New Roman"/>
          <w:b w:val="0"/>
          <w:i w:val="0"/>
          <w:sz w:val="22"/>
          <w:rtl/>
        </w:rPr>
        <w:t xml:space="preserve"> ____________________ / ____________ /</w:t>
      </w:r>
    </w:p>
    <w:p>
      <w:pPr>
        <w:pStyle w:val="Heading1"/>
        <w:keepNext/>
        <w:jc w:val="center"/>
      </w:pPr>
      <w:r>
        <w:rPr>
          <w:rFonts w:ascii="Times New Roman" w:hAnsi="Times New Roman" w:cs="Times New Roman" w:eastAsia="Times New Roman"/>
          <w:b/>
          <w:i w:val="0"/>
          <w:sz w:val="26"/>
          <w:rtl/>
        </w:rPr>
        <w:t>بيانات المرخِّص</w:t>
      </w:r>
    </w:p>
    <w:tbl>
      <w:tblPr>
        <w:tblStyle w:val="TableGrid"/>
        <w:tblW w:type="auto" w:w="0"/>
        <w:jc w:val="center"/>
        <w:tblLayout w:type="autofit"/>
        <w:tblLook w:firstColumn="1" w:firstRow="1" w:lastColumn="0" w:lastRow="0" w:noHBand="0" w:noVBand="1" w:val="04A0"/>
        <w:bidiVisual/>
      </w:tblPr>
      <w:tblGrid>
        <w:gridCol w:w="4677"/>
        <w:gridCol w:w="4677"/>
      </w:tblGrid>
      <w:tr>
        <w:trPr>
          <w:tblHeader w:val="true"/>
        </w:trPr>
        <w:tc>
          <w:tcPr>
            <w:tcW w:type="dxa" w:w="4677"/>
            <w:shd w:val="clear" w:fill="EDEDED"/>
          </w:tcPr>
          <w:p>
            <w:pPr>
              <w:bidi/>
              <w:spacing w:after="20" w:before="20" w:line="240" w:lineRule="auto"/>
              <w:ind w:firstLine="0"/>
              <w:jc w:val="center"/>
            </w:pPr>
            <w:r/>
            <w:r>
              <w:rPr>
                <w:rFonts w:ascii="Times New Roman" w:hAnsi="Times New Roman" w:cs="Times New Roman" w:eastAsia="Times New Roman"/>
                <w:b/>
                <w:i w:val="0"/>
                <w:sz w:val="18"/>
                <w:rtl/>
              </w:rPr>
              <w:t>الاسم</w:t>
            </w:r>
          </w:p>
        </w:tc>
        <w:tc>
          <w:tcPr>
            <w:tcW w:type="dxa" w:w="4677"/>
            <w:shd w:val="clear" w:fill="EDEDED"/>
          </w:tcPr>
          <w:p>
            <w:pPr>
              <w:bidi/>
              <w:spacing w:after="20" w:before="20" w:line="240" w:lineRule="auto"/>
              <w:ind w:firstLine="0"/>
              <w:jc w:val="center"/>
            </w:pPr>
            <w:r/>
            <w:r>
              <w:rPr>
                <w:rFonts w:ascii="Times New Roman" w:hAnsi="Times New Roman" w:cs="Times New Roman" w:eastAsia="Times New Roman"/>
                <w:b/>
                <w:i w:val="0"/>
                <w:sz w:val="18"/>
                <w:rtl/>
              </w:rPr>
              <w:t>web-ar.studio Corp</w:t>
            </w:r>
          </w:p>
        </w:tc>
      </w:tr>
      <w:tr>
        <w:tc>
          <w:tcPr>
            <w:tcW w:type="dxa" w:w="4677"/>
          </w:tcPr>
          <w:p>
            <w:pPr>
              <w:bidi/>
              <w:spacing w:after="20" w:before="20" w:line="240" w:lineRule="auto"/>
              <w:ind w:firstLine="0"/>
              <w:jc w:val="right"/>
            </w:pPr>
            <w:r/>
            <w:r>
              <w:rPr>
                <w:rFonts w:ascii="Times New Roman" w:hAnsi="Times New Roman" w:cs="Times New Roman" w:eastAsia="Times New Roman"/>
                <w:b w:val="0"/>
                <w:i w:val="0"/>
                <w:sz w:val="18"/>
                <w:rtl/>
              </w:rPr>
              <w:t>الشكل القانوني</w:t>
            </w:r>
          </w:p>
        </w:tc>
        <w:tc>
          <w:tcPr>
            <w:tcW w:type="dxa" w:w="4677"/>
          </w:tcPr>
          <w:p>
            <w:pPr>
              <w:bidi/>
              <w:spacing w:after="20" w:before="20" w:line="240" w:lineRule="auto"/>
              <w:ind w:firstLine="0"/>
              <w:jc w:val="center"/>
            </w:pPr>
            <w:r/>
            <w:r>
              <w:rPr>
                <w:rFonts w:ascii="Times New Roman" w:hAnsi="Times New Roman" w:cs="Times New Roman" w:eastAsia="Times New Roman"/>
                <w:b w:val="0"/>
                <w:i w:val="0"/>
                <w:sz w:val="18"/>
                <w:rtl/>
              </w:rPr>
              <w:t>شركة مساهمة بولاية ديلاوير، مؤسَّسة في 13 فبراير 2023</w:t>
            </w:r>
          </w:p>
        </w:tc>
      </w:tr>
      <w:tr>
        <w:tc>
          <w:tcPr>
            <w:tcW w:type="dxa" w:w="4677"/>
          </w:tcPr>
          <w:p>
            <w:pPr>
              <w:bidi/>
              <w:spacing w:after="20" w:before="20" w:line="240" w:lineRule="auto"/>
              <w:ind w:firstLine="0"/>
              <w:jc w:val="right"/>
            </w:pPr>
            <w:r/>
            <w:r>
              <w:rPr>
                <w:rFonts w:ascii="Times New Roman" w:hAnsi="Times New Roman" w:cs="Times New Roman" w:eastAsia="Times New Roman"/>
                <w:b w:val="0"/>
                <w:i w:val="0"/>
                <w:sz w:val="18"/>
                <w:rtl/>
              </w:rPr>
              <w:t>رقم التسجيل بديلاوير</w:t>
            </w:r>
          </w:p>
        </w:tc>
        <w:tc>
          <w:tcPr>
            <w:tcW w:type="dxa" w:w="4677"/>
          </w:tcPr>
          <w:p>
            <w:pPr>
              <w:bidi/>
              <w:spacing w:after="20" w:before="20" w:line="240" w:lineRule="auto"/>
              <w:ind w:firstLine="0"/>
              <w:jc w:val="center"/>
            </w:pPr>
            <w:r/>
            <w:r>
              <w:rPr>
                <w:rFonts w:ascii="Times New Roman" w:hAnsi="Times New Roman" w:cs="Times New Roman" w:eastAsia="Times New Roman"/>
                <w:b w:val="0"/>
                <w:i w:val="0"/>
                <w:sz w:val="18"/>
                <w:rtl/>
              </w:rPr>
              <w:t>7294738</w:t>
            </w:r>
          </w:p>
        </w:tc>
      </w:tr>
      <w:tr>
        <w:tc>
          <w:tcPr>
            <w:tcW w:type="dxa" w:w="4677"/>
          </w:tcPr>
          <w:p>
            <w:pPr>
              <w:bidi/>
              <w:spacing w:after="20" w:before="20" w:line="240" w:lineRule="auto"/>
              <w:ind w:firstLine="0"/>
              <w:jc w:val="right"/>
            </w:pPr>
            <w:r/>
            <w:r>
              <w:rPr>
                <w:rFonts w:ascii="Times New Roman" w:hAnsi="Times New Roman" w:cs="Times New Roman" w:eastAsia="Times New Roman"/>
                <w:b w:val="0"/>
                <w:i w:val="0"/>
                <w:sz w:val="18"/>
                <w:rtl/>
              </w:rPr>
              <w:t>المقر المسجَّل</w:t>
            </w:r>
          </w:p>
        </w:tc>
        <w:tc>
          <w:tcPr>
            <w:tcW w:type="dxa" w:w="4677"/>
          </w:tcPr>
          <w:p>
            <w:pPr>
              <w:bidi/>
              <w:spacing w:after="20" w:before="20" w:line="240" w:lineRule="auto"/>
              <w:ind w:firstLine="0"/>
              <w:jc w:val="center"/>
            </w:pPr>
            <w:r/>
            <w:r>
              <w:rPr>
                <w:rFonts w:ascii="Times New Roman" w:hAnsi="Times New Roman" w:cs="Times New Roman" w:eastAsia="Times New Roman"/>
                <w:b w:val="0"/>
                <w:i w:val="0"/>
                <w:sz w:val="18"/>
                <w:rtl/>
              </w:rPr>
              <w:t>1007 N Orange St, 4th Floor, Suite 1382, Wilmington, New Castle County, DE 19801</w:t>
            </w:r>
          </w:p>
        </w:tc>
      </w:tr>
      <w:tr>
        <w:tc>
          <w:tcPr>
            <w:tcW w:type="dxa" w:w="4677"/>
          </w:tcPr>
          <w:p>
            <w:pPr>
              <w:bidi/>
              <w:spacing w:after="20" w:before="20" w:line="240" w:lineRule="auto"/>
              <w:ind w:firstLine="0"/>
              <w:jc w:val="right"/>
            </w:pPr>
            <w:r/>
            <w:r>
              <w:rPr>
                <w:rFonts w:ascii="Times New Roman" w:hAnsi="Times New Roman" w:cs="Times New Roman" w:eastAsia="Times New Roman"/>
                <w:b w:val="0"/>
                <w:i w:val="0"/>
                <w:sz w:val="18"/>
                <w:rtl/>
              </w:rPr>
              <w:t>الوكيل المسجَّل</w:t>
            </w:r>
          </w:p>
        </w:tc>
        <w:tc>
          <w:tcPr>
            <w:tcW w:type="dxa" w:w="4677"/>
          </w:tcPr>
          <w:p>
            <w:pPr>
              <w:bidi/>
              <w:spacing w:after="20" w:before="20" w:line="240" w:lineRule="auto"/>
              <w:ind w:firstLine="0"/>
              <w:jc w:val="center"/>
            </w:pPr>
            <w:r/>
            <w:r>
              <w:rPr>
                <w:rFonts w:ascii="Times New Roman" w:hAnsi="Times New Roman" w:cs="Times New Roman" w:eastAsia="Times New Roman"/>
                <w:b w:val="0"/>
                <w:i w:val="0"/>
                <w:sz w:val="18"/>
                <w:rtl/>
              </w:rPr>
              <w:t>Firstbase Agent LLC</w:t>
            </w:r>
          </w:p>
        </w:tc>
      </w:tr>
      <w:tr>
        <w:tc>
          <w:tcPr>
            <w:tcW w:type="dxa" w:w="4677"/>
          </w:tcPr>
          <w:p>
            <w:pPr>
              <w:bidi/>
              <w:spacing w:after="20" w:before="20" w:line="240" w:lineRule="auto"/>
              <w:ind w:firstLine="0"/>
              <w:jc w:val="right"/>
            </w:pPr>
            <w:r/>
            <w:r>
              <w:rPr>
                <w:rFonts w:ascii="Times New Roman" w:hAnsi="Times New Roman" w:cs="Times New Roman" w:eastAsia="Times New Roman"/>
                <w:b w:val="0"/>
                <w:i w:val="0"/>
                <w:sz w:val="18"/>
                <w:rtl/>
              </w:rPr>
              <w:t>مقر العمل الرئيسي</w:t>
            </w:r>
          </w:p>
        </w:tc>
        <w:tc>
          <w:tcPr>
            <w:tcW w:type="dxa" w:w="4677"/>
          </w:tcPr>
          <w:p>
            <w:pPr>
              <w:bidi/>
              <w:spacing w:after="20" w:before="20" w:line="240" w:lineRule="auto"/>
              <w:ind w:firstLine="0"/>
              <w:jc w:val="center"/>
            </w:pPr>
            <w:r/>
            <w:r>
              <w:rPr>
                <w:rFonts w:ascii="Times New Roman" w:hAnsi="Times New Roman" w:cs="Times New Roman" w:eastAsia="Times New Roman"/>
                <w:b w:val="0"/>
                <w:i w:val="0"/>
                <w:sz w:val="18"/>
                <w:rtl/>
              </w:rPr>
              <w:t>447 Broadway, 2nd Floor, 1156, New York, NY 10013, الولايات المتحدة الأمريكية</w:t>
            </w:r>
          </w:p>
        </w:tc>
      </w:tr>
      <w:tr>
        <w:tc>
          <w:tcPr>
            <w:tcW w:type="dxa" w:w="4677"/>
          </w:tcPr>
          <w:p>
            <w:pPr>
              <w:bidi/>
              <w:spacing w:after="20" w:before="20" w:line="240" w:lineRule="auto"/>
              <w:ind w:firstLine="0"/>
              <w:jc w:val="right"/>
            </w:pPr>
            <w:r/>
            <w:r>
              <w:rPr>
                <w:rFonts w:ascii="Times New Roman" w:hAnsi="Times New Roman" w:cs="Times New Roman" w:eastAsia="Times New Roman"/>
                <w:b w:val="0"/>
                <w:i w:val="0"/>
                <w:sz w:val="18"/>
                <w:rtl/>
              </w:rPr>
              <w:t>البريد الإلكتروني</w:t>
            </w:r>
          </w:p>
        </w:tc>
        <w:tc>
          <w:tcPr>
            <w:tcW w:type="dxa" w:w="4677"/>
          </w:tcPr>
          <w:p>
            <w:pPr>
              <w:bidi/>
              <w:spacing w:after="20" w:before="20" w:line="240" w:lineRule="auto"/>
              <w:ind w:firstLine="0"/>
              <w:jc w:val="center"/>
            </w:pPr>
            <w:r/>
            <w:r>
              <w:rPr>
                <w:rFonts w:ascii="Times New Roman" w:hAnsi="Times New Roman" w:cs="Times New Roman" w:eastAsia="Times New Roman"/>
                <w:b w:val="0"/>
                <w:i w:val="0"/>
                <w:sz w:val="18"/>
                <w:rtl/>
              </w:rPr>
              <w:t>support@arsy.ai</w:t>
            </w:r>
          </w:p>
        </w:tc>
      </w:tr>
      <w:tr>
        <w:tc>
          <w:tcPr>
            <w:tcW w:type="dxa" w:w="4677"/>
          </w:tcPr>
          <w:p>
            <w:pPr>
              <w:bidi/>
              <w:spacing w:after="20" w:before="20" w:line="240" w:lineRule="auto"/>
              <w:ind w:firstLine="0"/>
              <w:jc w:val="right"/>
            </w:pPr>
            <w:r/>
            <w:r>
              <w:rPr>
                <w:rFonts w:ascii="Times New Roman" w:hAnsi="Times New Roman" w:cs="Times New Roman" w:eastAsia="Times New Roman"/>
                <w:b w:val="0"/>
                <w:i w:val="0"/>
                <w:sz w:val="18"/>
                <w:rtl/>
              </w:rPr>
              <w:t>الموقع</w:t>
            </w:r>
          </w:p>
        </w:tc>
        <w:tc>
          <w:tcPr>
            <w:tcW w:type="dxa" w:w="4677"/>
          </w:tcPr>
          <w:p>
            <w:pPr>
              <w:bidi/>
              <w:spacing w:after="20" w:before="20" w:line="240" w:lineRule="auto"/>
              <w:ind w:firstLine="0"/>
              <w:jc w:val="center"/>
            </w:pPr>
            <w:r/>
            <w:r>
              <w:rPr>
                <w:rFonts w:ascii="Times New Roman" w:hAnsi="Times New Roman" w:cs="Times New Roman" w:eastAsia="Times New Roman"/>
                <w:b w:val="0"/>
                <w:i w:val="0"/>
                <w:sz w:val="18"/>
                <w:rtl/>
              </w:rPr>
              <w:t>https://arsy.ai</w:t>
            </w:r>
          </w:p>
        </w:tc>
      </w:tr>
    </w:tbl>
    <w:p>
      <w:pPr>
        <w:spacing w:after="80"/>
      </w:pPr>
    </w:p>
    <w:p>
      <w:r>
        <w:rPr>
          <w:rFonts w:ascii="Times New Roman" w:hAnsi="Times New Roman" w:cs="Times New Roman" w:eastAsia="Times New Roman"/>
          <w:b w:val="0"/>
          <w:i w:val="0"/>
          <w:sz w:val="22"/>
          <w:rtl/>
        </w:rPr>
        <w:t>بيانات المرخِّص المصرفية مبيَّنة في استمارة الطلب وفي الفاتورة الصادرة استنادًا إليها.</w:t>
      </w:r>
    </w:p>
    <w:sectPr w:rsidR="00FC693F" w:rsidRPr="0006063C" w:rsidSect="00034616">
      <w:bidi/>
      <w:footerReference w:type="default" r:id="rId9"/>
      <w:pgSz w:w="11906" w:h="16838"/>
      <w:pgMar w:top="1134" w:right="1701" w:bottom="1134" w:left="85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ind w:firstLine="0"/>
      <w:jc w:val="center"/>
    </w:pPr>
    <w:r>
      <w:rPr>
        <w:rFonts w:ascii="Times New Roman" w:hAnsi="Times New Roman" w:cs="Times New Roman" w:eastAsia="Times New Roman"/>
        <w:color w:val="606060"/>
        <w:sz w:val="16"/>
        <w:rtl/>
      </w:rPr>
      <w:t xml:space="preserve">شروط ترخيص ARSY AI · عالمي · مباشر للعميل · إصدار 23.07.2026 · صفحة </w:t>
    </w:r>
    <w:r>
      <w:rPr>
        <w:rFonts w:ascii="Times New Roman" w:hAnsi="Times New Roman" w:cs="Times New Roman" w:eastAsia="Times New Roman"/>
        <w:color w:val="606060"/>
        <w:sz w:val="16"/>
        <w:rtl/>
      </w:rPr>
      <w:fldChar w:fldCharType="begin"/>
      <w:instrText xml:space="preserve">PAGE</w:instrText>
      <w:fldChar w:fldCharType="separate"/>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bidi/>
      <w:widowControl/>
      <w:spacing w:after="120" w:line="276" w:lineRule="auto"/>
      <w:ind w:firstLine="709"/>
      <w:jc w:val="both"/>
    </w:pPr>
    <w:rPr>
      <w:rFonts w:ascii="Times New Roman" w:hAnsi="Times New Roman" w:cs="Times New Roman" w:eastAsia="Times New Roman"/>
      <w:color w:val="000000"/>
      <w:sz w:val="22"/>
      <w:rtl/>
      <w:lang w:val="ar-SA"/>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bidi/>
      <w:keepNext/>
      <w:keepLines/>
      <w:spacing w:before="360" w:after="200" w:line="240" w:lineRule="auto"/>
      <w:ind w:firstLine="0"/>
      <w:jc w:val="right"/>
      <w:outlineLvl w:val="0"/>
    </w:pPr>
    <w:rPr>
      <w:rFonts w:asciiTheme="majorHAnsi" w:eastAsiaTheme="majorEastAsia" w:hAnsiTheme="majorHAnsi" w:cstheme="majorBidi" w:ascii="Times New Roman" w:hAnsi="Times New Roman" w:cs="Times New Roman" w:eastAsia="Times New Roman"/>
      <w:b/>
      <w:bCs/>
      <w:i w:val="0"/>
      <w:color w:val="000000"/>
      <w:sz w:val="26"/>
      <w:szCs w:val="28"/>
      <w:rtl/>
    </w:rPr>
  </w:style>
  <w:style w:type="paragraph" w:styleId="Heading2">
    <w:name w:val="heading 2"/>
    <w:basedOn w:val="Normal"/>
    <w:next w:val="Normal"/>
    <w:link w:val="Heading2Char"/>
    <w:uiPriority w:val="9"/>
    <w:unhideWhenUsed/>
    <w:qFormat/>
    <w:rsid w:val="00FC693F"/>
    <w:pPr>
      <w:bidi/>
      <w:keepNext/>
      <w:keepLines/>
      <w:spacing w:before="280" w:after="120" w:line="240" w:lineRule="auto"/>
      <w:ind w:firstLine="0"/>
      <w:jc w:val="right"/>
      <w:outlineLvl w:val="1"/>
    </w:pPr>
    <w:rPr>
      <w:rFonts w:asciiTheme="majorHAnsi" w:eastAsiaTheme="majorEastAsia" w:hAnsiTheme="majorHAnsi" w:cstheme="majorBidi" w:ascii="Times New Roman" w:hAnsi="Times New Roman" w:cs="Times New Roman" w:eastAsia="Times New Roman"/>
      <w:b/>
      <w:bCs/>
      <w:i w:val="0"/>
      <w:color w:val="000000"/>
      <w:sz w:val="23"/>
      <w:szCs w:val="26"/>
      <w:rtl/>
    </w:rPr>
  </w:style>
  <w:style w:type="paragraph" w:styleId="Heading3">
    <w:name w:val="heading 3"/>
    <w:basedOn w:val="Normal"/>
    <w:next w:val="Normal"/>
    <w:link w:val="Heading3Char"/>
    <w:uiPriority w:val="9"/>
    <w:unhideWhenUsed/>
    <w:qFormat/>
    <w:rsid w:val="00FC693F"/>
    <w:pPr>
      <w:bidi/>
      <w:keepNext/>
      <w:keepLines/>
      <w:spacing w:before="200" w:after="80" w:line="240" w:lineRule="auto"/>
      <w:ind w:firstLine="0"/>
      <w:jc w:val="right"/>
      <w:outlineLvl w:val="2"/>
    </w:pPr>
    <w:rPr>
      <w:rFonts w:asciiTheme="majorHAnsi" w:eastAsiaTheme="majorEastAsia" w:hAnsiTheme="majorHAnsi" w:cstheme="majorBidi" w:ascii="Times New Roman" w:hAnsi="Times New Roman" w:cs="Times New Roman" w:eastAsia="Times New Roman"/>
      <w:b/>
      <w:bCs/>
      <w:i w:val="0"/>
      <w:color w:val="000000"/>
      <w:sz w:val="22"/>
      <w:rtl/>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