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CONDIÇÕES DE LICENÇA DO ARSY AI</w:t>
      </w:r>
    </w:p>
    <w:p>
      <w:pPr>
        <w:spacing w:after="480"/>
        <w:ind w:firstLine="0"/>
        <w:jc w:val="center"/>
      </w:pPr>
      <w:r>
        <w:rPr>
          <w:rFonts w:ascii="Times New Roman" w:hAnsi="Times New Roman" w:cs="Times New Roman" w:eastAsia="Times New Roman"/>
          <w:sz w:val="26"/>
        </w:rPr>
        <w:t>Oferta pública para a celebração de um contrato de licença sobre o software ARSY AI — para parceiros integradores certificados</w:t>
      </w:r>
    </w:p>
    <w:p>
      <w:pPr>
        <w:ind w:firstLine="0"/>
        <w:jc w:val="center"/>
      </w:pPr>
      <w:r>
        <w:rPr>
          <w:rFonts w:ascii="Times New Roman" w:hAnsi="Times New Roman" w:cs="Times New Roman" w:eastAsia="Times New Roman"/>
          <w:b/>
          <w:i w:val="0"/>
          <w:sz w:val="22"/>
        </w:rPr>
        <w:t>Versão de 23 de julho de 2026. Em vigor a partir de 1 de agosto de 2026.</w:t>
      </w:r>
      <w:r>
        <w:rPr>
          <w:rFonts w:ascii="Times New Roman" w:hAnsi="Times New Roman" w:cs="Times New Roman" w:eastAsia="Times New Roman"/>
          <w:b w:val="0"/>
          <w:i w:val="0"/>
          <w:sz w:val="22"/>
        </w:rPr>
        <w:t xml:space="preserve"> A versão em vigor está publicada em: https://arsy.ai/pt/offer/partner</w:t>
      </w:r>
    </w:p>
    <w:p>
      <w:pPr>
        <w:ind w:firstLine="0"/>
        <w:jc w:val="center"/>
      </w:pPr>
      <w:r>
        <w:rPr>
          <w:rFonts w:ascii="Times New Roman" w:hAnsi="Times New Roman" w:cs="Times New Roman" w:eastAsia="Times New Roman"/>
          <w:b/>
          <w:i w:val="0"/>
          <w:sz w:val="22"/>
        </w:rPr>
        <w:t>Aviso: esta versão em português é uma tradução não vinculativa, disponibilizada apenas para facilitar a leitura. Apenas a versão em inglês é juridicamente vinculativa (cláusula C.17.6). Em caso de divergência, prevalece o texto em inglês.</w:t>
      </w:r>
    </w:p>
    <w:p>
      <w:pPr>
        <w:pageBreakBefore/>
        <w:spacing w:after="240"/>
        <w:ind w:firstLine="0"/>
        <w:jc w:val="center"/>
      </w:pPr>
      <w:r>
        <w:rPr>
          <w:rFonts w:ascii="Times New Roman" w:hAnsi="Times New Roman" w:cs="Times New Roman" w:eastAsia="Times New Roman"/>
          <w:b/>
          <w:sz w:val="26"/>
        </w:rPr>
        <w:t>ÍNDICE</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(se o índice estiver vazio, selecione-o e prima F9)</w:t>
      </w:r>
    </w:p>
    <w:p>
      <w:pPr>
        <w:pStyle w:val="Heading2"/>
        <w:keepNext/>
        <w:pageBreakBefore/>
      </w:pPr>
      <w:r>
        <w:rPr>
          <w:rFonts w:ascii="Times New Roman" w:hAnsi="Times New Roman" w:cs="Times New Roman" w:eastAsia="Times New Roman"/>
          <w:b/>
          <w:i w:val="0"/>
          <w:sz w:val="23"/>
        </w:rPr>
        <w:t>PREÂMBULO</w:t>
      </w:r>
    </w:p>
    <w:p>
      <w:r>
        <w:rPr>
          <w:rFonts w:ascii="Times New Roman" w:hAnsi="Times New Roman" w:cs="Times New Roman" w:eastAsia="Times New Roman"/>
          <w:b w:val="0"/>
          <w:i w:val="0"/>
          <w:sz w:val="22"/>
        </w:rPr>
        <w:t xml:space="preserve">A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sociedade anónima constituída ao abrigo da General Corporation Law do Estado do Delaware em 13 de fevereiro de 2023, com o número de registo (file number) 7294738, com sede em 1007 N Orange St, 4th Floor, Suite 1382, Wilmington, New Castle County, Delaware 19801 (agente registado: Firstbase Agent LLC) e com estabelecimento principal em 447 Broadway, 2nd Floor, 1156, New York, NY 10013, Estados Unidos — designada nas presentes Condições por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o </w:t>
      </w:r>
      <w:r>
        <w:rPr>
          <w:rFonts w:ascii="Times New Roman" w:hAnsi="Times New Roman" w:cs="Times New Roman" w:eastAsia="Times New Roman"/>
          <w:b/>
          <w:i w:val="0"/>
          <w:sz w:val="22"/>
        </w:rPr>
        <w:t>«Licenciante»</w:t>
      </w:r>
      <w:r>
        <w:rPr>
          <w:rFonts w:ascii="Times New Roman" w:hAnsi="Times New Roman" w:cs="Times New Roman" w:eastAsia="Times New Roman"/>
          <w:b w:val="0"/>
          <w:i w:val="0"/>
          <w:sz w:val="22"/>
        </w:rPr>
        <w:t xml:space="preserve"> ou </w:t>
      </w:r>
      <w:r>
        <w:rPr>
          <w:rFonts w:ascii="Times New Roman" w:hAnsi="Times New Roman" w:cs="Times New Roman" w:eastAsia="Times New Roman"/>
          <w:b/>
          <w:i w:val="0"/>
          <w:sz w:val="22"/>
        </w:rPr>
        <w:t>«nós»</w:t>
      </w:r>
      <w:r>
        <w:rPr>
          <w:rFonts w:ascii="Times New Roman" w:hAnsi="Times New Roman" w:cs="Times New Roman" w:eastAsia="Times New Roman"/>
          <w:b w:val="0"/>
          <w:i w:val="0"/>
          <w:sz w:val="22"/>
        </w:rPr>
        <w:t xml:space="preserve"> — é titular dos direitos de propriedade intelectual sobre a plataforma ARSY AI no território abrangido pelas presentes Condições e publica pela presente esta oferta.</w:t>
      </w:r>
    </w:p>
    <w:p>
      <w:r>
        <w:rPr>
          <w:rFonts w:ascii="Times New Roman" w:hAnsi="Times New Roman" w:cs="Times New Roman" w:eastAsia="Times New Roman"/>
          <w:b w:val="0"/>
          <w:i w:val="0"/>
          <w:sz w:val="22"/>
        </w:rPr>
        <w:t>As presentes Condições constituem uma oferta vinculativa suscetível de aceitação. Qualquer pessoa coletiva que preencha os requisitos da cláusula 3.1 (</w:t>
      </w:r>
      <w:r>
        <w:rPr>
          <w:rFonts w:ascii="Times New Roman" w:hAnsi="Times New Roman" w:cs="Times New Roman" w:eastAsia="Times New Roman"/>
          <w:b/>
          <w:i w:val="0"/>
          <w:sz w:val="22"/>
        </w:rPr>
        <w:t>«Contraparte»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 utilizador»</w:t>
      </w:r>
      <w:r>
        <w:rPr>
          <w:rFonts w:ascii="Times New Roman" w:hAnsi="Times New Roman" w:cs="Times New Roman" w:eastAsia="Times New Roman"/>
          <w:b w:val="0"/>
          <w:i w:val="0"/>
          <w:sz w:val="22"/>
        </w:rPr>
        <w:t>) pode celebrar um contrato de licença com o Licenciante mediante qualquer dos atos de aceitação previstos na cláusula 3.2. Não é exigida assinatura, embora possa ser solicitada.</w:t>
      </w:r>
    </w:p>
    <w:p>
      <w:r>
        <w:rPr>
          <w:rFonts w:ascii="Times New Roman" w:hAnsi="Times New Roman" w:cs="Times New Roman" w:eastAsia="Times New Roman"/>
          <w:b/>
          <w:i w:val="0"/>
          <w:sz w:val="22"/>
        </w:rPr>
        <w:t>Leia atentamente as presentes Condições. Qualquer ato de aceitação vincula-o à totalidade delas.</w:t>
      </w:r>
    </w:p>
    <w:p>
      <w:pPr>
        <w:pStyle w:val="Heading1"/>
        <w:keepNext/>
        <w:pageBreakBefore/>
        <w:jc w:val="center"/>
      </w:pPr>
      <w:r>
        <w:rPr>
          <w:rFonts w:ascii="Times New Roman" w:hAnsi="Times New Roman" w:cs="Times New Roman" w:eastAsia="Times New Roman"/>
          <w:b/>
          <w:i w:val="0"/>
          <w:sz w:val="26"/>
        </w:rPr>
        <w:t>PARTE GERAL</w:t>
      </w:r>
    </w:p>
    <w:p>
      <w:pPr>
        <w:pStyle w:val="Heading2"/>
        <w:keepNext/>
      </w:pPr>
      <w:r>
        <w:rPr>
          <w:rFonts w:ascii="Times New Roman" w:hAnsi="Times New Roman" w:cs="Times New Roman" w:eastAsia="Times New Roman"/>
          <w:b/>
          <w:i w:val="0"/>
          <w:sz w:val="23"/>
        </w:rPr>
        <w:t>1. ESTRUTURA E ORDEM DE PREVALÊNCIA</w:t>
      </w:r>
    </w:p>
    <w:p>
      <w:r>
        <w:rPr>
          <w:rFonts w:ascii="Times New Roman" w:hAnsi="Times New Roman" w:cs="Times New Roman" w:eastAsia="Times New Roman"/>
          <w:b w:val="0"/>
          <w:i w:val="0"/>
          <w:sz w:val="22"/>
        </w:rPr>
        <w:t>1.1. As presentes Condições são compostas por:</w:t>
      </w:r>
    </w:p>
    <w:p>
      <w:pPr>
        <w:spacing w:after="40"/>
        <w:ind w:left="709" w:hanging="283"/>
      </w:pPr>
      <w:r>
        <w:rPr>
          <w:rFonts w:ascii="Times New Roman" w:hAnsi="Times New Roman" w:cs="Times New Roman" w:eastAsia="Times New Roman"/>
          <w:b w:val="0"/>
          <w:i w:val="0"/>
          <w:sz w:val="22"/>
        </w:rPr>
        <w:t xml:space="preserve">— a </w:t>
      </w:r>
      <w:r>
        <w:rPr>
          <w:rFonts w:ascii="Times New Roman" w:hAnsi="Times New Roman" w:cs="Times New Roman" w:eastAsia="Times New Roman"/>
          <w:b/>
          <w:i w:val="0"/>
          <w:sz w:val="22"/>
        </w:rPr>
        <w:t>Parte Geral</w:t>
      </w:r>
      <w:r>
        <w:rPr>
          <w:rFonts w:ascii="Times New Roman" w:hAnsi="Times New Roman" w:cs="Times New Roman" w:eastAsia="Times New Roman"/>
          <w:b w:val="0"/>
          <w:i w:val="0"/>
          <w:sz w:val="22"/>
        </w:rPr>
        <w:t xml:space="preserve"> (cláusulas 1 a 4);</w:t>
      </w:r>
    </w:p>
    <w:p>
      <w:pPr>
        <w:spacing w:after="40"/>
        <w:ind w:left="709" w:hanging="283"/>
      </w:pPr>
      <w:r>
        <w:rPr>
          <w:rFonts w:ascii="Times New Roman" w:hAnsi="Times New Roman" w:cs="Times New Roman" w:eastAsia="Times New Roman"/>
          <w:b w:val="0"/>
          <w:i w:val="0"/>
          <w:sz w:val="22"/>
        </w:rPr>
        <w:t xml:space="preserve">— a </w:t>
      </w:r>
      <w:r>
        <w:rPr>
          <w:rFonts w:ascii="Times New Roman" w:hAnsi="Times New Roman" w:cs="Times New Roman" w:eastAsia="Times New Roman"/>
          <w:b/>
          <w:i w:val="0"/>
          <w:sz w:val="22"/>
        </w:rPr>
        <w:t>Parte B</w:t>
      </w:r>
      <w:r>
        <w:rPr>
          <w:rFonts w:ascii="Times New Roman" w:hAnsi="Times New Roman" w:cs="Times New Roman" w:eastAsia="Times New Roman"/>
          <w:b w:val="0"/>
          <w:i w:val="0"/>
          <w:sz w:val="22"/>
        </w:rPr>
        <w:t xml:space="preserve"> — condições aplicáveis ao </w:t>
      </w:r>
      <w:r>
        <w:rPr>
          <w:rFonts w:ascii="Times New Roman" w:hAnsi="Times New Roman" w:cs="Times New Roman" w:eastAsia="Times New Roman"/>
          <w:b/>
          <w:i w:val="0"/>
          <w:sz w:val="22"/>
        </w:rPr>
        <w:t>Parceiro</w:t>
      </w:r>
      <w:r>
        <w:rPr>
          <w:rFonts w:ascii="Times New Roman" w:hAnsi="Times New Roman" w:cs="Times New Roman" w:eastAsia="Times New Roman"/>
          <w:b w:val="0"/>
          <w:i w:val="0"/>
          <w:sz w:val="22"/>
        </w:rPr>
        <w:t xml:space="preserve"> (parceiro integrador certificado);</w:t>
      </w:r>
    </w:p>
    <w:p>
      <w:pPr>
        <w:spacing w:after="40"/>
        <w:ind w:left="709" w:hanging="283"/>
      </w:pPr>
      <w:r>
        <w:rPr>
          <w:rFonts w:ascii="Times New Roman" w:hAnsi="Times New Roman" w:cs="Times New Roman" w:eastAsia="Times New Roman"/>
          <w:b w:val="0"/>
          <w:i w:val="0"/>
          <w:sz w:val="22"/>
        </w:rPr>
        <w:t xml:space="preserve">— a </w:t>
      </w:r>
      <w:r>
        <w:rPr>
          <w:rFonts w:ascii="Times New Roman" w:hAnsi="Times New Roman" w:cs="Times New Roman" w:eastAsia="Times New Roman"/>
          <w:b/>
          <w:i w:val="0"/>
          <w:sz w:val="22"/>
        </w:rPr>
        <w:t>Parte C</w:t>
      </w:r>
      <w:r>
        <w:rPr>
          <w:rFonts w:ascii="Times New Roman" w:hAnsi="Times New Roman" w:cs="Times New Roman" w:eastAsia="Times New Roman"/>
          <w:b w:val="0"/>
          <w:i w:val="0"/>
          <w:sz w:val="22"/>
        </w:rPr>
        <w:t xml:space="preserve"> — condições gerais;</w:t>
      </w:r>
    </w:p>
    <w:p>
      <w:pPr>
        <w:spacing w:after="40"/>
        <w:ind w:left="709" w:hanging="283"/>
      </w:pPr>
      <w:r>
        <w:rPr>
          <w:rFonts w:ascii="Times New Roman" w:hAnsi="Times New Roman" w:cs="Times New Roman" w:eastAsia="Times New Roman"/>
          <w:b w:val="0"/>
          <w:i w:val="0"/>
          <w:sz w:val="22"/>
        </w:rPr>
        <w:t xml:space="preserve">— os </w:t>
      </w:r>
      <w:r>
        <w:rPr>
          <w:rFonts w:ascii="Times New Roman" w:hAnsi="Times New Roman" w:cs="Times New Roman" w:eastAsia="Times New Roman"/>
          <w:b/>
          <w:i w:val="0"/>
          <w:sz w:val="22"/>
        </w:rPr>
        <w:t>Anexos 1 a 6</w:t>
      </w:r>
      <w:r>
        <w:rPr>
          <w:rFonts w:ascii="Times New Roman" w:hAnsi="Times New Roman" w:cs="Times New Roman" w:eastAsia="Times New Roman"/>
          <w:b w:val="0"/>
          <w:i w:val="0"/>
          <w:sz w:val="22"/>
        </w:rPr>
        <w:t>, que fazem parte integrante das presentes Condições.</w:t>
      </w:r>
    </w:p>
    <w:p>
      <w:r>
        <w:rPr>
          <w:rFonts w:ascii="Times New Roman" w:hAnsi="Times New Roman" w:cs="Times New Roman" w:eastAsia="Times New Roman"/>
          <w:b w:val="0"/>
          <w:i w:val="0"/>
          <w:sz w:val="22"/>
        </w:rPr>
        <w:t xml:space="preserve">1.2. As presentes Condições regulam a relação entre o Licenciante e o Parceiro. As condições em que são concedidos direitos sobre o Software aos Clientes finais constam da oferta pública para clientes, publicada em https://arsy.ai/pt/offer/customer (as </w:t>
      </w:r>
      <w:r>
        <w:rPr>
          <w:rFonts w:ascii="Times New Roman" w:hAnsi="Times New Roman" w:cs="Times New Roman" w:eastAsia="Times New Roman"/>
          <w:b/>
          <w:i w:val="0"/>
          <w:sz w:val="22"/>
        </w:rPr>
        <w:t>«Condições para Clientes»</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1.2.1. A numeração de cláusulas e anexos é uniforme em todas as versões da oferta ARSY AI: uma remissão para uma cláusula (por exemplo, C.10.2) designa a mesma cláusula em cada uma delas. A ausência nesta versão de uma Parte alheia ao seu objeto não constitui omissão.</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Ordem de prevalência.</w:t>
      </w:r>
      <w:r>
        <w:rPr>
          <w:rFonts w:ascii="Times New Roman" w:hAnsi="Times New Roman" w:cs="Times New Roman" w:eastAsia="Times New Roman"/>
          <w:b w:val="0"/>
          <w:i w:val="0"/>
          <w:sz w:val="22"/>
        </w:rPr>
        <w:t xml:space="preserve"> Em caso de contradição aplica-se a seguinte ordem (do mais elevado para o mais baixo):</w:t>
      </w:r>
    </w:p>
    <w:p>
      <w:pPr>
        <w:spacing w:after="40"/>
        <w:ind w:left="709" w:hanging="425"/>
      </w:pPr>
      <w:r>
        <w:rPr>
          <w:rFonts w:ascii="Times New Roman" w:hAnsi="Times New Roman" w:cs="Times New Roman" w:eastAsia="Times New Roman"/>
          <w:b w:val="0"/>
          <w:i w:val="0"/>
          <w:sz w:val="22"/>
        </w:rPr>
        <w:t>1) acordo escrito autónomo assinado por ambas as partes, na medida em que se afaste expressamente das presentes Condições;</w:t>
      </w:r>
    </w:p>
    <w:p>
      <w:pPr>
        <w:spacing w:after="40"/>
        <w:ind w:left="709" w:hanging="425"/>
      </w:pPr>
      <w:r>
        <w:rPr>
          <w:rFonts w:ascii="Times New Roman" w:hAnsi="Times New Roman" w:cs="Times New Roman" w:eastAsia="Times New Roman"/>
          <w:b w:val="0"/>
          <w:i w:val="0"/>
          <w:sz w:val="22"/>
        </w:rPr>
        <w:t>2) Formulário de Pedido assinado ou de outro modo acordado por ambas as partes;</w:t>
      </w:r>
    </w:p>
    <w:p>
      <w:pPr>
        <w:spacing w:after="40"/>
        <w:ind w:left="709" w:hanging="425"/>
      </w:pPr>
      <w:r>
        <w:rPr>
          <w:rFonts w:ascii="Times New Roman" w:hAnsi="Times New Roman" w:cs="Times New Roman" w:eastAsia="Times New Roman"/>
          <w:b w:val="0"/>
          <w:i w:val="0"/>
          <w:sz w:val="22"/>
        </w:rPr>
        <w:t>3) os Anexos;</w:t>
      </w:r>
    </w:p>
    <w:p>
      <w:pPr>
        <w:spacing w:after="40"/>
        <w:ind w:left="709" w:hanging="425"/>
      </w:pPr>
      <w:r>
        <w:rPr>
          <w:rFonts w:ascii="Times New Roman" w:hAnsi="Times New Roman" w:cs="Times New Roman" w:eastAsia="Times New Roman"/>
          <w:b w:val="0"/>
          <w:i w:val="0"/>
          <w:sz w:val="22"/>
        </w:rPr>
        <w:t>4) a Parte B;</w:t>
      </w:r>
    </w:p>
    <w:p>
      <w:pPr>
        <w:spacing w:after="40"/>
        <w:ind w:left="709" w:hanging="425"/>
      </w:pPr>
      <w:r>
        <w:rPr>
          <w:rFonts w:ascii="Times New Roman" w:hAnsi="Times New Roman" w:cs="Times New Roman" w:eastAsia="Times New Roman"/>
          <w:b w:val="0"/>
          <w:i w:val="0"/>
          <w:sz w:val="22"/>
        </w:rPr>
        <w:t>5) a Parte C e a Parte Geral.</w:t>
      </w:r>
    </w:p>
    <w:p>
      <w:r>
        <w:rPr>
          <w:rFonts w:ascii="Times New Roman" w:hAnsi="Times New Roman" w:cs="Times New Roman" w:eastAsia="Times New Roman"/>
          <w:b w:val="0"/>
          <w:i w:val="0"/>
          <w:sz w:val="22"/>
        </w:rPr>
        <w:t>1.4. As presentes Condições não substituem as condições do sítio publicadas em https://arsy.ai/terms nem a política de privacidade publicada em https://arsy.ai/privacy. Quanto à concessão de direitos sobre o Software e aos pagamentos entre as partes, prevalecem as presentes Condições.</w:t>
      </w:r>
    </w:p>
    <w:p>
      <w:r>
        <w:rPr>
          <w:rFonts w:ascii="Times New Roman" w:hAnsi="Times New Roman" w:cs="Times New Roman" w:eastAsia="Times New Roman"/>
          <w:b w:val="0"/>
          <w:i w:val="0"/>
          <w:sz w:val="22"/>
        </w:rPr>
        <w:t>1.5. O envio de um pedido de demonstração, a assistência a uma demonstração ou o acesso a um ambiente de demonstração não constituem, por si só, um contrato nem concedem qualquer licença sobre o Software.</w:t>
      </w:r>
    </w:p>
    <w:p>
      <w:r>
        <w:rPr>
          <w:rFonts w:ascii="Times New Roman" w:hAnsi="Times New Roman" w:cs="Times New Roman" w:eastAsia="Times New Roman"/>
          <w:b w:val="0"/>
          <w:i w:val="0"/>
          <w:sz w:val="22"/>
        </w:rPr>
        <w:t xml:space="preserve">1.6. </w:t>
      </w:r>
      <w:r>
        <w:rPr>
          <w:rFonts w:ascii="Times New Roman" w:hAnsi="Times New Roman" w:cs="Times New Roman" w:eastAsia="Times New Roman"/>
          <w:b/>
          <w:i w:val="0"/>
          <w:sz w:val="22"/>
        </w:rPr>
        <w:t>Atuação por conta própria.</w:t>
      </w:r>
      <w:r>
        <w:rPr>
          <w:rFonts w:ascii="Times New Roman" w:hAnsi="Times New Roman" w:cs="Times New Roman" w:eastAsia="Times New Roman"/>
          <w:b w:val="0"/>
          <w:i w:val="0"/>
          <w:sz w:val="22"/>
        </w:rPr>
        <w:t xml:space="preserve"> O Licenciante contrata exclusivamente em nome próprio e por conta própria. Não é parte em qualquer acordo celebrado por outra pessoa nem assume qualquer obrigação ou responsabilidade dele decorrente, e nenhuma outra pessoa está autorizada a prestar declarações, assumir obrigações ou conceder direitos em nome do Licenciante.</w:t>
      </w:r>
    </w:p>
    <w:p>
      <w:pPr>
        <w:pStyle w:val="Heading2"/>
        <w:keepNext/>
      </w:pPr>
      <w:r>
        <w:rPr>
          <w:rFonts w:ascii="Times New Roman" w:hAnsi="Times New Roman" w:cs="Times New Roman" w:eastAsia="Times New Roman"/>
          <w:b/>
          <w:i w:val="0"/>
          <w:sz w:val="23"/>
        </w:rPr>
        <w:t>2. DEFINIÇÕES</w:t>
      </w:r>
    </w:p>
    <w:p>
      <w:r>
        <w:rPr>
          <w:rFonts w:ascii="Times New Roman" w:hAnsi="Times New Roman" w:cs="Times New Roman" w:eastAsia="Times New Roman"/>
          <w:b/>
          <w:i w:val="0"/>
          <w:sz w:val="22"/>
        </w:rPr>
        <w:t>2.1. «Software»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«ARSY AI»</w:t>
      </w:r>
      <w:r>
        <w:rPr>
          <w:rFonts w:ascii="Times New Roman" w:hAnsi="Times New Roman" w:cs="Times New Roman" w:eastAsia="Times New Roman"/>
          <w:b w:val="0"/>
          <w:i w:val="0"/>
          <w:sz w:val="22"/>
        </w:rPr>
        <w:t xml:space="preserve"> — a plataforma de inteligência artificial espacial ARSY AI para ambientes industriais, composta, na medida incluída no Plano contratado, por:</w:t>
      </w:r>
    </w:p>
    <w:p>
      <w:pPr>
        <w:spacing w:after="40"/>
        <w:ind w:left="709" w:hanging="283"/>
      </w:pPr>
      <w:r>
        <w:rPr>
          <w:rFonts w:ascii="Times New Roman" w:hAnsi="Times New Roman" w:cs="Times New Roman" w:eastAsia="Times New Roman"/>
          <w:b w:val="0"/>
          <w:i w:val="0"/>
          <w:sz w:val="22"/>
        </w:rPr>
        <w:t>— os componentes de servidor da plataforma e a consola de administração;</w:t>
      </w:r>
    </w:p>
    <w:p>
      <w:pPr>
        <w:spacing w:after="40"/>
        <w:ind w:left="709" w:hanging="283"/>
      </w:pPr>
      <w:r>
        <w:rPr>
          <w:rFonts w:ascii="Times New Roman" w:hAnsi="Times New Roman" w:cs="Times New Roman" w:eastAsia="Times New Roman"/>
          <w:b w:val="0"/>
          <w:i w:val="0"/>
          <w:sz w:val="22"/>
        </w:rPr>
        <w:t xml:space="preserve">— o sistema de posicionamento visual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(posicionamento espacial sem marcadores, criação e armazenamento de mapas espaciais);</w:t>
      </w:r>
    </w:p>
    <w:p>
      <w:pPr>
        <w:spacing w:after="40"/>
        <w:ind w:left="709" w:hanging="283"/>
      </w:pPr>
      <w:r>
        <w:rPr>
          <w:rFonts w:ascii="Times New Roman" w:hAnsi="Times New Roman" w:cs="Times New Roman" w:eastAsia="Times New Roman"/>
          <w:b w:val="0"/>
          <w:i w:val="0"/>
          <w:sz w:val="22"/>
        </w:rPr>
        <w:t>— o agente de IA (modos de texto e de voz, modo de interação livre, modo agêntico), incluindo os modelos treinados de aprendizagem automática e de visão computacional;</w:t>
      </w:r>
    </w:p>
    <w:p>
      <w:pPr>
        <w:spacing w:after="40"/>
        <w:ind w:left="709" w:hanging="283"/>
      </w:pPr>
      <w:r>
        <w:rPr>
          <w:rFonts w:ascii="Times New Roman" w:hAnsi="Times New Roman" w:cs="Times New Roman" w:eastAsia="Times New Roman"/>
          <w:b w:val="0"/>
          <w:i w:val="0"/>
          <w:sz w:val="22"/>
        </w:rPr>
        <w:t>— os módulos funcionais: formação e certificação, analítica, controlo de acessos (RBAC), motor de cenários por componentes e o módulo «Perito Remoto» (videoconferência com RA);</w:t>
      </w:r>
    </w:p>
    <w:p>
      <w:pPr>
        <w:spacing w:after="40"/>
        <w:ind w:left="709" w:hanging="283"/>
      </w:pPr>
      <w:r>
        <w:rPr>
          <w:rFonts w:ascii="Times New Roman" w:hAnsi="Times New Roman" w:cs="Times New Roman" w:eastAsia="Times New Roman"/>
          <w:b w:val="0"/>
          <w:i w:val="0"/>
          <w:sz w:val="22"/>
        </w:rPr>
        <w:t>— as aplicações cliente para telemóveis, tablets e óculos de RA;</w:t>
      </w:r>
    </w:p>
    <w:p>
      <w:pPr>
        <w:spacing w:after="40"/>
        <w:ind w:left="709" w:hanging="283"/>
      </w:pPr>
      <w:r>
        <w:rPr>
          <w:rFonts w:ascii="Times New Roman" w:hAnsi="Times New Roman" w:cs="Times New Roman" w:eastAsia="Times New Roman"/>
          <w:b w:val="0"/>
          <w:i w:val="0"/>
          <w:sz w:val="22"/>
        </w:rPr>
        <w:t>— a documentação associada;</w:t>
      </w:r>
    </w:p>
    <w:p>
      <w:r>
        <w:rPr>
          <w:rFonts w:ascii="Times New Roman" w:hAnsi="Times New Roman" w:cs="Times New Roman" w:eastAsia="Times New Roman"/>
          <w:b w:val="0"/>
          <w:i w:val="0"/>
          <w:sz w:val="22"/>
        </w:rPr>
        <w:t>bem como todas as atualizações, correções e novas versões do acima referido que o Licenciante disponibilize durante o Prazo da Licença.</w:t>
      </w:r>
    </w:p>
    <w:p>
      <w:r>
        <w:rPr>
          <w:rFonts w:ascii="Times New Roman" w:hAnsi="Times New Roman" w:cs="Times New Roman" w:eastAsia="Times New Roman"/>
          <w:b/>
          <w:i w:val="0"/>
          <w:sz w:val="22"/>
        </w:rPr>
        <w:t>2.2. «ARSY AI Space»</w:t>
      </w:r>
      <w:r>
        <w:rPr>
          <w:rFonts w:ascii="Times New Roman" w:hAnsi="Times New Roman" w:cs="Times New Roman" w:eastAsia="Times New Roman"/>
          <w:b w:val="0"/>
          <w:i w:val="0"/>
          <w:sz w:val="22"/>
        </w:rPr>
        <w:t xml:space="preserve"> — a interface de gestão disponível em https://space.arsy.ai, utilizada para a administração, o registo de Dispositivos e Máquinas Abrangidas e a troca de comunicações formais entre as partes.</w:t>
      </w:r>
    </w:p>
    <w:p>
      <w:r>
        <w:rPr>
          <w:rFonts w:ascii="Times New Roman" w:hAnsi="Times New Roman" w:cs="Times New Roman" w:eastAsia="Times New Roman"/>
          <w:b/>
          <w:i w:val="0"/>
          <w:sz w:val="22"/>
        </w:rPr>
        <w:t>2.3. «Cliente»</w:t>
      </w:r>
      <w:r>
        <w:rPr>
          <w:rFonts w:ascii="Times New Roman" w:hAnsi="Times New Roman" w:cs="Times New Roman" w:eastAsia="Times New Roman"/>
          <w:b w:val="0"/>
          <w:i w:val="0"/>
          <w:sz w:val="22"/>
        </w:rPr>
        <w:t xml:space="preserve"> — pessoa coletiva à qual o Parceiro concede direitos de utilização do Software nos termos das Condições para Clientes (sublicenciado).</w:t>
      </w:r>
    </w:p>
    <w:p>
      <w:r>
        <w:rPr>
          <w:rFonts w:ascii="Times New Roman" w:hAnsi="Times New Roman" w:cs="Times New Roman" w:eastAsia="Times New Roman"/>
          <w:b/>
          <w:i w:val="0"/>
          <w:sz w:val="22"/>
        </w:rPr>
        <w:t>2.4. «Parceiro»</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«Integrador»</w:t>
      </w:r>
      <w:r>
        <w:rPr>
          <w:rFonts w:ascii="Times New Roman" w:hAnsi="Times New Roman" w:cs="Times New Roman" w:eastAsia="Times New Roman"/>
          <w:b w:val="0"/>
          <w:i w:val="0"/>
          <w:sz w:val="22"/>
        </w:rPr>
        <w:t xml:space="preserve"> — pessoa coletiva que aceita as presentes Condições para implementar o Software em Clientes e/ou conceder a Clientes direitos de utilização do Software nos termos da Parte B, e que foi certificada pelo Licenciante. Nas presentes Condições o Parceiro é a Contraparte.</w:t>
      </w:r>
    </w:p>
    <w:p>
      <w:r>
        <w:rPr>
          <w:rFonts w:ascii="Times New Roman" w:hAnsi="Times New Roman" w:cs="Times New Roman" w:eastAsia="Times New Roman"/>
          <w:b/>
          <w:i w:val="0"/>
          <w:sz w:val="22"/>
        </w:rPr>
        <w:t>2.5. «Formulário de Pedido»</w:t>
      </w:r>
      <w:r>
        <w:rPr>
          <w:rFonts w:ascii="Times New Roman" w:hAnsi="Times New Roman" w:cs="Times New Roman" w:eastAsia="Times New Roman"/>
          <w:b w:val="0"/>
          <w:i w:val="0"/>
          <w:sz w:val="22"/>
        </w:rPr>
        <w:t xml:space="preserve"> — documento conforme ao modelo do Anexo 6 que fixa o Plano, o Modelo de Implementação, os Locais, o número de Máquinas Abrangidas e Dispositivos, o Prazo da Licença, a remuneração e as condições de pagamento, bem como quaisquer outros parâmetros acordados. O Formulário de Pedido pode ser acordado no ARSY AI Space, por correio eletrónico ou por assinatura.</w:t>
      </w:r>
    </w:p>
    <w:p>
      <w:r>
        <w:rPr>
          <w:rFonts w:ascii="Times New Roman" w:hAnsi="Times New Roman" w:cs="Times New Roman" w:eastAsia="Times New Roman"/>
          <w:b/>
          <w:i w:val="0"/>
          <w:sz w:val="22"/>
        </w:rPr>
        <w:t>2.6. «Plano»</w:t>
      </w:r>
      <w:r>
        <w:rPr>
          <w:rFonts w:ascii="Times New Roman" w:hAnsi="Times New Roman" w:cs="Times New Roman" w:eastAsia="Times New Roman"/>
          <w:b w:val="0"/>
          <w:i w:val="0"/>
          <w:sz w:val="22"/>
        </w:rPr>
        <w:t xml:space="preserve"> — o conjunto de funcionalidades e limites quantitativos definidos no Anexo 1: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2.7. «Modelo de Implementação»</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«Nuvem Gerida»</w:t>
      </w:r>
      <w:r>
        <w:rPr>
          <w:rFonts w:ascii="Times New Roman" w:hAnsi="Times New Roman" w:cs="Times New Roman" w:eastAsia="Times New Roman"/>
          <w:b w:val="0"/>
          <w:i w:val="0"/>
          <w:sz w:val="22"/>
        </w:rPr>
        <w:t xml:space="preserve"> — o Software é executado na infraestrutura do Licenciante e acedido remotamente através da internet;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é instalada uma Instância num servidor situado dentro da rede própria da Contraparte e sob o seu controlo. Disponível a partir do Plano Professional.</w:t>
      </w:r>
    </w:p>
    <w:p>
      <w:r>
        <w:rPr>
          <w:rFonts w:ascii="Times New Roman" w:hAnsi="Times New Roman" w:cs="Times New Roman" w:eastAsia="Times New Roman"/>
          <w:b/>
          <w:i w:val="0"/>
          <w:sz w:val="22"/>
        </w:rPr>
        <w:t>2.8. «Instância»</w:t>
      </w:r>
      <w:r>
        <w:rPr>
          <w:rFonts w:ascii="Times New Roman" w:hAnsi="Times New Roman" w:cs="Times New Roman" w:eastAsia="Times New Roman"/>
          <w:b w:val="0"/>
          <w:i w:val="0"/>
          <w:sz w:val="22"/>
        </w:rPr>
        <w:t xml:space="preserve"> — cópia implementada e configurada do Software que opera para uma Contraparte num Modelo de Implementação.</w:t>
      </w:r>
    </w:p>
    <w:p>
      <w:r>
        <w:rPr>
          <w:rFonts w:ascii="Times New Roman" w:hAnsi="Times New Roman" w:cs="Times New Roman" w:eastAsia="Times New Roman"/>
          <w:b/>
          <w:i w:val="0"/>
          <w:sz w:val="22"/>
        </w:rPr>
        <w:t>2.9. «Local»</w:t>
      </w:r>
      <w:r>
        <w:rPr>
          <w:rFonts w:ascii="Times New Roman" w:hAnsi="Times New Roman" w:cs="Times New Roman" w:eastAsia="Times New Roman"/>
          <w:b w:val="0"/>
          <w:i w:val="0"/>
          <w:sz w:val="22"/>
        </w:rPr>
        <w:t xml:space="preserve"> — instalação industrial ou outra, autonomizada, da Contraparte (recinto, fábrica, edifício, área de produção) que foi objeto de digitalização espacial e dentro da qual o Software é utilizado. Os Locais constam do Formulário de Pedido.</w:t>
      </w:r>
    </w:p>
    <w:p>
      <w:r>
        <w:rPr>
          <w:rFonts w:ascii="Times New Roman" w:hAnsi="Times New Roman" w:cs="Times New Roman" w:eastAsia="Times New Roman"/>
          <w:b/>
          <w:i w:val="0"/>
          <w:sz w:val="22"/>
        </w:rPr>
        <w:t>2.10. «Máquina Abrangida»</w:t>
      </w:r>
      <w:r>
        <w:rPr>
          <w:rFonts w:ascii="Times New Roman" w:hAnsi="Times New Roman" w:cs="Times New Roman" w:eastAsia="Times New Roman"/>
          <w:b w:val="0"/>
          <w:i w:val="0"/>
          <w:sz w:val="22"/>
        </w:rPr>
        <w:t xml:space="preserve"> — equipamento produtivo do Cliente (máquina-ferramenta, unidade, linha, instalação, conjunto) para o qual foram criados no Software ancoragem espacial, cenários e/ou procedimentos de orientação e que se encontra registado no ARSY AI Space. As Máquinas Abrangidas constituem unidade de faturação.</w:t>
      </w:r>
    </w:p>
    <w:p>
      <w:r>
        <w:rPr>
          <w:rFonts w:ascii="Times New Roman" w:hAnsi="Times New Roman" w:cs="Times New Roman" w:eastAsia="Times New Roman"/>
          <w:b/>
          <w:i w:val="0"/>
          <w:sz w:val="22"/>
        </w:rPr>
        <w:t>2.11. «Dispositivo»</w:t>
      </w:r>
      <w:r>
        <w:rPr>
          <w:rFonts w:ascii="Times New Roman" w:hAnsi="Times New Roman" w:cs="Times New Roman" w:eastAsia="Times New Roman"/>
          <w:b w:val="0"/>
          <w:i w:val="0"/>
          <w:sz w:val="22"/>
        </w:rPr>
        <w:t xml:space="preserve"> — equipamento vestível ou móvel (óculos de RA, telemóvel, tablet) registado numa Instância e utilizado para aceder ao Software.</w:t>
      </w:r>
    </w:p>
    <w:p>
      <w:r>
        <w:rPr>
          <w:rFonts w:ascii="Times New Roman" w:hAnsi="Times New Roman" w:cs="Times New Roman" w:eastAsia="Times New Roman"/>
          <w:b/>
          <w:i w:val="0"/>
          <w:sz w:val="22"/>
        </w:rPr>
        <w:t>2.12. «Utilizador»</w:t>
      </w:r>
      <w:r>
        <w:rPr>
          <w:rFonts w:ascii="Times New Roman" w:hAnsi="Times New Roman" w:cs="Times New Roman" w:eastAsia="Times New Roman"/>
          <w:b w:val="0"/>
          <w:i w:val="0"/>
          <w:sz w:val="22"/>
        </w:rPr>
        <w:t xml:space="preserve"> — pessoa singular à qual a Contraparte concede acesso ao Software (trabalhador, formando, prestador). </w:t>
      </w:r>
      <w:r>
        <w:rPr>
          <w:rFonts w:ascii="Times New Roman" w:hAnsi="Times New Roman" w:cs="Times New Roman" w:eastAsia="Times New Roman"/>
          <w:b/>
          <w:i w:val="0"/>
          <w:sz w:val="22"/>
        </w:rPr>
        <w:t>Os Utilizadores nunca são contabilizados nem faturados, em nenhum Plano.</w:t>
      </w:r>
    </w:p>
    <w:p>
      <w:r>
        <w:rPr>
          <w:rFonts w:ascii="Times New Roman" w:hAnsi="Times New Roman" w:cs="Times New Roman" w:eastAsia="Times New Roman"/>
          <w:b/>
          <w:i w:val="0"/>
          <w:sz w:val="22"/>
        </w:rPr>
        <w:t>2.13. «Conteúdo do Cliente»</w:t>
      </w:r>
      <w:r>
        <w:rPr>
          <w:rFonts w:ascii="Times New Roman" w:hAnsi="Times New Roman" w:cs="Times New Roman" w:eastAsia="Times New Roman"/>
          <w:b w:val="0"/>
          <w:i w:val="0"/>
          <w:sz w:val="22"/>
        </w:rPr>
        <w:t xml:space="preserve"> — todos os dados e materiais que a Contraparte introduz no Software ou com ele cria, incluindo as digitalizações de Locais e os mapas espaciais delas derivados, os procedimentos, cursos de formação e cenários, a documentação técnica e regulamentar carregada, as evidências fotográficas e de vídeo captadas, as gravações de sessões do Perito Remoto, os dados de atividade dos Utilizadores e os registos operacionais.</w:t>
      </w:r>
    </w:p>
    <w:p>
      <w:r>
        <w:rPr>
          <w:rFonts w:ascii="Times New Roman" w:hAnsi="Times New Roman" w:cs="Times New Roman" w:eastAsia="Times New Roman"/>
          <w:b/>
          <w:i w:val="0"/>
          <w:sz w:val="22"/>
        </w:rPr>
        <w:t>2.14. «Métricas Agregadas»</w:t>
      </w:r>
      <w:r>
        <w:rPr>
          <w:rFonts w:ascii="Times New Roman" w:hAnsi="Times New Roman" w:cs="Times New Roman" w:eastAsia="Times New Roman"/>
          <w:b w:val="0"/>
          <w:i w:val="0"/>
          <w:sz w:val="22"/>
        </w:rPr>
        <w:t xml:space="preserve"> — informação sobre o funcionamento do Software em forma agregada e anonimizada, que não permite identificar a Contraparte, o seu Local, o seu equipamento, os seus Utilizadores ou qualquer outra pessoa singular (incluindo indicadores de desempenho, frequência de utilização de funcionalidades, volumes e taxas de erro).</w:t>
      </w:r>
    </w:p>
    <w:p>
      <w:r>
        <w:rPr>
          <w:rFonts w:ascii="Times New Roman" w:hAnsi="Times New Roman" w:cs="Times New Roman" w:eastAsia="Times New Roman"/>
          <w:b/>
          <w:i w:val="0"/>
          <w:sz w:val="22"/>
        </w:rPr>
        <w:t>2.15. «Prazo da Licença»</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«Período de Faturação»</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«Subscrição»</w:t>
      </w:r>
      <w:r>
        <w:rPr>
          <w:rFonts w:ascii="Times New Roman" w:hAnsi="Times New Roman" w:cs="Times New Roman" w:eastAsia="Times New Roman"/>
          <w:b w:val="0"/>
          <w:i w:val="0"/>
          <w:sz w:val="22"/>
        </w:rPr>
        <w:t xml:space="preserve"> — o período pelo qual são concedidos direitos de utilização do Software, nos termos do Formulário de Pedido.</w:t>
      </w:r>
    </w:p>
    <w:p>
      <w:r>
        <w:rPr>
          <w:rFonts w:ascii="Times New Roman" w:hAnsi="Times New Roman" w:cs="Times New Roman" w:eastAsia="Times New Roman"/>
          <w:b/>
          <w:i w:val="0"/>
          <w:sz w:val="22"/>
        </w:rPr>
        <w:t>2.16. «Tabela de Preços»</w:t>
      </w:r>
      <w:r>
        <w:rPr>
          <w:rFonts w:ascii="Times New Roman" w:hAnsi="Times New Roman" w:cs="Times New Roman" w:eastAsia="Times New Roman"/>
          <w:b w:val="0"/>
          <w:i w:val="0"/>
          <w:sz w:val="22"/>
        </w:rPr>
        <w:t xml:space="preserve"> — a tabela de preços do Licenciante publicada em https://arsy.ai/pricing, em conjunto com os valores base do Anexo 2.</w:t>
      </w:r>
    </w:p>
    <w:p>
      <w:r>
        <w:rPr>
          <w:rFonts w:ascii="Times New Roman" w:hAnsi="Times New Roman" w:cs="Times New Roman" w:eastAsia="Times New Roman"/>
          <w:b/>
          <w:i w:val="0"/>
          <w:sz w:val="22"/>
        </w:rPr>
        <w:t>2.17. «Anexo de Suporte»</w:t>
      </w:r>
      <w:r>
        <w:rPr>
          <w:rFonts w:ascii="Times New Roman" w:hAnsi="Times New Roman" w:cs="Times New Roman" w:eastAsia="Times New Roman"/>
          <w:b w:val="0"/>
          <w:i w:val="0"/>
          <w:sz w:val="22"/>
        </w:rPr>
        <w:t xml:space="preserve"> — o Anexo 3, que fixa níveis de suporte, canais, tempos de resposta e compromissos de disponibilidade.</w:t>
      </w:r>
    </w:p>
    <w:p>
      <w:pPr>
        <w:pStyle w:val="Heading2"/>
        <w:keepNext/>
      </w:pPr>
      <w:r>
        <w:rPr>
          <w:rFonts w:ascii="Times New Roman" w:hAnsi="Times New Roman" w:cs="Times New Roman" w:eastAsia="Times New Roman"/>
          <w:b/>
          <w:i w:val="0"/>
          <w:sz w:val="23"/>
        </w:rPr>
        <w:t>3. FORMAÇÃO DO CONTRATO (ACEITAÇÃO)</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Quem pode aceitar.</w:t>
      </w:r>
      <w:r>
        <w:rPr>
          <w:rFonts w:ascii="Times New Roman" w:hAnsi="Times New Roman" w:cs="Times New Roman" w:eastAsia="Times New Roman"/>
          <w:b w:val="0"/>
          <w:i w:val="0"/>
          <w:sz w:val="22"/>
        </w:rPr>
        <w:t xml:space="preserve"> As presentes Condições dirigem-se a pessoas coletivas e a pessoas singulares que atuem no exercício de uma atividade empresarial ou profissional. Não se dirigem a consumidores e não se pretende a aplicação de qualquer regime de proteção do consumidor.</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Aceitação.</w:t>
      </w:r>
      <w:r>
        <w:rPr>
          <w:rFonts w:ascii="Times New Roman" w:hAnsi="Times New Roman" w:cs="Times New Roman" w:eastAsia="Times New Roman"/>
          <w:b w:val="0"/>
          <w:i w:val="0"/>
          <w:sz w:val="22"/>
        </w:rPr>
        <w:t xml:space="preserve"> O utilizador aceita as presentes Condições na íntegra e sem alterações através do primeiro dos seguintes atos a ocorrer:</w:t>
      </w:r>
    </w:p>
    <w:p>
      <w:pPr>
        <w:spacing w:after="40"/>
        <w:ind w:left="709" w:hanging="425"/>
      </w:pPr>
      <w:r>
        <w:rPr>
          <w:rFonts w:ascii="Times New Roman" w:hAnsi="Times New Roman" w:cs="Times New Roman" w:eastAsia="Times New Roman"/>
          <w:b w:val="0"/>
          <w:i w:val="0"/>
          <w:sz w:val="22"/>
        </w:rPr>
        <w:t>1) o pagamento de fatura emitida pelo Licenciante com base num Formulário de Pedido, na totalidade ou quanto à primeira prestação;</w:t>
      </w:r>
    </w:p>
    <w:p>
      <w:pPr>
        <w:spacing w:after="40"/>
        <w:ind w:left="709" w:hanging="425"/>
      </w:pPr>
      <w:r>
        <w:rPr>
          <w:rFonts w:ascii="Times New Roman" w:hAnsi="Times New Roman" w:cs="Times New Roman" w:eastAsia="Times New Roman"/>
          <w:b w:val="0"/>
          <w:i w:val="0"/>
          <w:sz w:val="22"/>
        </w:rPr>
        <w:t>2) a assinatura ou confirmação por outro meio de um Formulário de Pedido;</w:t>
      </w:r>
    </w:p>
    <w:p>
      <w:pPr>
        <w:spacing w:after="40"/>
        <w:ind w:left="709" w:hanging="425"/>
      </w:pPr>
      <w:r>
        <w:rPr>
          <w:rFonts w:ascii="Times New Roman" w:hAnsi="Times New Roman" w:cs="Times New Roman" w:eastAsia="Times New Roman"/>
          <w:b w:val="0"/>
          <w:i w:val="0"/>
          <w:sz w:val="22"/>
        </w:rPr>
        <w:t>3) o início da utilização efetiva do Software, incluindo o primeiro acesso ao ARSY AI Space com credenciais emitidas pelo Licenciante, a instalação de uma Instância On-Premise ou a ativação de uma chave de licença;</w:t>
      </w:r>
    </w:p>
    <w:p>
      <w:pPr>
        <w:spacing w:after="40"/>
        <w:ind w:left="709" w:hanging="425"/>
      </w:pPr>
      <w:r>
        <w:rPr>
          <w:rFonts w:ascii="Times New Roman" w:hAnsi="Times New Roman" w:cs="Times New Roman" w:eastAsia="Times New Roman"/>
          <w:b w:val="0"/>
          <w:i w:val="0"/>
          <w:sz w:val="22"/>
        </w:rPr>
        <w:t>4) a marcação da caixa de aceitação das presentes Condições no registo no ARSY AI Space.</w:t>
      </w:r>
    </w:p>
    <w:p>
      <w:r>
        <w:rPr>
          <w:rFonts w:ascii="Times New Roman" w:hAnsi="Times New Roman" w:cs="Times New Roman" w:eastAsia="Times New Roman"/>
          <w:b w:val="0"/>
          <w:i w:val="0"/>
          <w:sz w:val="22"/>
        </w:rPr>
        <w:t>3.3. O contrato considera-se celebrado no momento da aceitação e vigora pelo Prazo da Licença, com sujeição à cláusula C.12.</w:t>
      </w:r>
    </w:p>
    <w:p>
      <w:r>
        <w:rPr>
          <w:rFonts w:ascii="Times New Roman" w:hAnsi="Times New Roman" w:cs="Times New Roman" w:eastAsia="Times New Roman"/>
          <w:b w:val="0"/>
          <w:i w:val="0"/>
          <w:sz w:val="22"/>
        </w:rPr>
        <w:t>3.4. Com a aceitação, o utilizador confirma que leu integralmente as presentes Condições e os Anexos, que os aceita sem reservas e que a pessoa que aceita tem poderes para o vincular.</w:t>
      </w:r>
    </w:p>
    <w:p>
      <w:r>
        <w:rPr>
          <w:rFonts w:ascii="Times New Roman" w:hAnsi="Times New Roman" w:cs="Times New Roman" w:eastAsia="Times New Roman"/>
          <w:b w:val="0"/>
          <w:i w:val="0"/>
          <w:sz w:val="22"/>
        </w:rPr>
        <w:t>3.5. A aceitação sujeita a alterações, reservas ou condições adicionais ou distintas (incluindo as constantes da sua nota de encomenda, do seu portal de fornecedores ou das suas condições gerais de contratação) é rejeitada e não forma contrato. As alterações negociadas são vertidas em acordo assinado autónomo, nos termos da cláusula 1.3.</w:t>
      </w:r>
    </w:p>
    <w:p>
      <w:r>
        <w:rPr>
          <w:rFonts w:ascii="Times New Roman" w:hAnsi="Times New Roman" w:cs="Times New Roman" w:eastAsia="Times New Roman"/>
          <w:b w:val="0"/>
          <w:i w:val="0"/>
          <w:sz w:val="22"/>
        </w:rPr>
        <w:t>3.6. Mediante pedido escrito, o Licenciante celebrará contrato em documento único que reproduza as presentes Condições. Tal não altera o momento da celebração estabelecido na cláusula 3.3.</w:t>
      </w:r>
    </w:p>
    <w:p>
      <w:pPr>
        <w:pStyle w:val="Heading2"/>
        <w:keepNext/>
      </w:pPr>
      <w:r>
        <w:rPr>
          <w:rFonts w:ascii="Times New Roman" w:hAnsi="Times New Roman" w:cs="Times New Roman" w:eastAsia="Times New Roman"/>
          <w:b/>
          <w:i w:val="0"/>
          <w:sz w:val="23"/>
        </w:rPr>
        <w:t>4. NATUREZA DO CONTRATO</w:t>
      </w:r>
    </w:p>
    <w:p>
      <w:r>
        <w:rPr>
          <w:rFonts w:ascii="Times New Roman" w:hAnsi="Times New Roman" w:cs="Times New Roman" w:eastAsia="Times New Roman"/>
          <w:b w:val="0"/>
          <w:i w:val="0"/>
          <w:sz w:val="22"/>
        </w:rPr>
        <w:t>4.1. O Licenciante concede o direito de utilizar o Software dentro dos limites fixados nas presentes Condições, e a Contraparte obriga-se a pagar a remuneração e a respeitar as restrições.</w:t>
      </w:r>
    </w:p>
    <w:p>
      <w:r>
        <w:rPr>
          <w:rFonts w:ascii="Times New Roman" w:hAnsi="Times New Roman" w:cs="Times New Roman" w:eastAsia="Times New Roman"/>
          <w:b w:val="0"/>
          <w:i w:val="0"/>
          <w:sz w:val="22"/>
        </w:rPr>
        <w:t>4.2. O contrato compreende uma licença de software e a prestação de serviços — suporte técnico e, no Modelo de Implementação de Nuvem Gerida, o alojamento e a operação da Instância.</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Sem transmissão de titularidade.</w:t>
      </w:r>
      <w:r>
        <w:rPr>
          <w:rFonts w:ascii="Times New Roman" w:hAnsi="Times New Roman" w:cs="Times New Roman" w:eastAsia="Times New Roman"/>
          <w:b w:val="0"/>
          <w:i w:val="0"/>
          <w:sz w:val="22"/>
        </w:rPr>
        <w:t xml:space="preserve"> Não é transmitido à Contraparte qualquer direito de propriedade intelectual sobre o Software. Todos os direitos não expressamente concedidos permanecem reservados.</w:t>
      </w:r>
    </w:p>
    <w:p>
      <w:r>
        <w:rPr>
          <w:rFonts w:ascii="Times New Roman" w:hAnsi="Times New Roman" w:cs="Times New Roman" w:eastAsia="Times New Roman"/>
          <w:b w:val="0"/>
          <w:i w:val="0"/>
          <w:sz w:val="22"/>
        </w:rPr>
        <w:t>4.4. A digitalização espacial dos Locais, a configuração, o desenvolvimento de cenários, a integração com os sistemas de informação do Cliente e a formação do pessoal (</w:t>
      </w:r>
      <w:r>
        <w:rPr>
          <w:rFonts w:ascii="Times New Roman" w:hAnsi="Times New Roman" w:cs="Times New Roman" w:eastAsia="Times New Roman"/>
          <w:b/>
          <w:i w:val="0"/>
          <w:sz w:val="22"/>
        </w:rPr>
        <w:t>«Serviços de Implementação»</w:t>
      </w:r>
      <w:r>
        <w:rPr>
          <w:rFonts w:ascii="Times New Roman" w:hAnsi="Times New Roman" w:cs="Times New Roman" w:eastAsia="Times New Roman"/>
          <w:b w:val="0"/>
          <w:i w:val="0"/>
          <w:sz w:val="22"/>
        </w:rPr>
        <w:t>) não integram o objeto das presentes Condições, salvo indicação expressa no Formulário de Pedido, e são prestados pelo Parceiro ao abrigo de acordo autónomo entre o Parceiro e o Cliente.</w:t>
      </w:r>
    </w:p>
    <w:p>
      <w:pPr>
        <w:pStyle w:val="Heading1"/>
        <w:keepNext/>
        <w:pageBreakBefore/>
        <w:jc w:val="center"/>
      </w:pPr>
      <w:r>
        <w:rPr>
          <w:rFonts w:ascii="Times New Roman" w:hAnsi="Times New Roman" w:cs="Times New Roman" w:eastAsia="Times New Roman"/>
          <w:b/>
          <w:i w:val="0"/>
          <w:sz w:val="26"/>
        </w:rPr>
        <w:t>PARTE B. CONDIÇÕES PARA PARCEIROS (INTEGRADORES)</w:t>
      </w:r>
    </w:p>
    <w:p>
      <w:pPr>
        <w:pStyle w:val="Heading2"/>
        <w:keepNext/>
      </w:pPr>
      <w:r>
        <w:rPr>
          <w:rFonts w:ascii="Times New Roman" w:hAnsi="Times New Roman" w:cs="Times New Roman" w:eastAsia="Times New Roman"/>
          <w:b/>
          <w:i w:val="0"/>
          <w:sz w:val="23"/>
        </w:rPr>
        <w:t>B.1. Estatuto de Parceiro e certificação</w:t>
      </w:r>
    </w:p>
    <w:p>
      <w:r>
        <w:rPr>
          <w:rFonts w:ascii="Times New Roman" w:hAnsi="Times New Roman" w:cs="Times New Roman" w:eastAsia="Times New Roman"/>
          <w:b w:val="0"/>
          <w:i w:val="0"/>
          <w:sz w:val="22"/>
        </w:rPr>
        <w:t>B.1.1. O Software é comercializado e implementado nos clientes finais através de parceiros integradores certificados. O Parceiro realiza a digitalização espacial, o registo do equipamento, o desenvolvimento de cenários, a formação do cliente e o suporte de primeiro nível. O Licenciante disponibiliza a plataforma, a capacitação do parceiro e o suporte de segundo nível.</w:t>
      </w:r>
    </w:p>
    <w:p>
      <w:r>
        <w:rPr>
          <w:rFonts w:ascii="Times New Roman" w:hAnsi="Times New Roman" w:cs="Times New Roman" w:eastAsia="Times New Roman"/>
          <w:b w:val="0"/>
          <w:i w:val="0"/>
          <w:sz w:val="22"/>
        </w:rPr>
        <w:t>B.1.2. O estatuto de parceiro certificado exige, cumulativamente: (a) a aceitação das presentes Condições; (b) a conclusão do programa de formação do Licenciante por, pelo menos, duas (2) pessoas do Parceiro, e a manutenção de certificados válidos; (c) a inexistência de montantes vencidos a favor do Licenciante.</w:t>
      </w:r>
    </w:p>
    <w:p>
      <w:r>
        <w:rPr>
          <w:rFonts w:ascii="Times New Roman" w:hAnsi="Times New Roman" w:cs="Times New Roman" w:eastAsia="Times New Roman"/>
          <w:b w:val="0"/>
          <w:i w:val="0"/>
          <w:sz w:val="22"/>
        </w:rPr>
        <w:t>B.1.3. Os certificados individuais têm validade de doze (12) meses e devem ser renovados. A descida abaixo do número exigido de certificados válidos suspende os direitos da cláusula B.2.2 até à reposição da conformidade, mas não suspende as obrigações do Parceiro perante os Clientes existentes nem perante o Licenciante.</w:t>
      </w:r>
    </w:p>
    <w:p>
      <w:r>
        <w:rPr>
          <w:rFonts w:ascii="Times New Roman" w:hAnsi="Times New Roman" w:cs="Times New Roman" w:eastAsia="Times New Roman"/>
          <w:b w:val="0"/>
          <w:i w:val="0"/>
          <w:sz w:val="22"/>
        </w:rPr>
        <w:t>B.1.4. O Parceiro atua em nome próprio e por conta própria. As presentes Condições não criam relação de agência, sociedade, empreendimento comum ou laboral. O Parceiro não pode assumir obrigações em nome do Licenciante, prestar declarações sobre o Software para além da documentação oficial, nem contratar em nome do Licenciante.</w:t>
      </w:r>
    </w:p>
    <w:p>
      <w:pPr>
        <w:pStyle w:val="Heading2"/>
        <w:keepNext/>
      </w:pPr>
      <w:r>
        <w:rPr>
          <w:rFonts w:ascii="Times New Roman" w:hAnsi="Times New Roman" w:cs="Times New Roman" w:eastAsia="Times New Roman"/>
          <w:b/>
          <w:i w:val="0"/>
          <w:sz w:val="23"/>
        </w:rPr>
        <w:t>B.2. Direitos concedidos</w:t>
      </w:r>
    </w:p>
    <w:p>
      <w:r>
        <w:rPr>
          <w:rFonts w:ascii="Times New Roman" w:hAnsi="Times New Roman" w:cs="Times New Roman" w:eastAsia="Times New Roman"/>
          <w:b w:val="0"/>
          <w:i w:val="0"/>
          <w:sz w:val="22"/>
        </w:rPr>
        <w:t xml:space="preserve">B.2.1. </w:t>
      </w:r>
      <w:r>
        <w:rPr>
          <w:rFonts w:ascii="Times New Roman" w:hAnsi="Times New Roman" w:cs="Times New Roman" w:eastAsia="Times New Roman"/>
          <w:b/>
          <w:i w:val="0"/>
          <w:sz w:val="22"/>
        </w:rPr>
        <w:t>Direitos de utilização própria.</w:t>
      </w:r>
      <w:r>
        <w:rPr>
          <w:rFonts w:ascii="Times New Roman" w:hAnsi="Times New Roman" w:cs="Times New Roman" w:eastAsia="Times New Roman"/>
          <w:b w:val="0"/>
          <w:i w:val="0"/>
          <w:sz w:val="22"/>
        </w:rPr>
        <w:t xml:space="preserve"> O Licenciante concede ao Parceiro uma licença não exclusiva para utilizar o Software para fins de demonstração, testes, desenvolvimento de cenários e formação do seu próprio pessoal. O número e a configuração dessas Instâncias não destinadas a revenda constam do Anexo 2. Tais Instâncias não podem ser utilizadas para prestar serviços em produção a Clientes.</w:t>
      </w:r>
    </w:p>
    <w:p>
      <w:r>
        <w:rPr>
          <w:rFonts w:ascii="Times New Roman" w:hAnsi="Times New Roman" w:cs="Times New Roman" w:eastAsia="Times New Roman"/>
          <w:b w:val="0"/>
          <w:i w:val="0"/>
          <w:sz w:val="22"/>
        </w:rPr>
        <w:t xml:space="preserve">B.2.2. </w:t>
      </w:r>
      <w:r>
        <w:rPr>
          <w:rFonts w:ascii="Times New Roman" w:hAnsi="Times New Roman" w:cs="Times New Roman" w:eastAsia="Times New Roman"/>
          <w:b/>
          <w:i w:val="0"/>
          <w:sz w:val="22"/>
        </w:rPr>
        <w:t>Direito de sublicenciamento.</w:t>
      </w:r>
      <w:r>
        <w:rPr>
          <w:rFonts w:ascii="Times New Roman" w:hAnsi="Times New Roman" w:cs="Times New Roman" w:eastAsia="Times New Roman"/>
          <w:b w:val="0"/>
          <w:i w:val="0"/>
          <w:sz w:val="22"/>
        </w:rPr>
        <w:t xml:space="preserve"> O Licenciante concede ao Parceiro o direito de conceder a Clientes direitos de utilização do Software, em condições não mais amplas do que as das presentes Condições e do Formulário de Pedido do Parceiro, e por prazo não superior ao próprio Prazo da Licença do Parceiro. Esta cláusula constitui o consentimento escrito do Licenciante a tal sublicenciamento dentro desses limites.</w:t>
      </w:r>
    </w:p>
    <w:p>
      <w:r>
        <w:rPr>
          <w:rFonts w:ascii="Times New Roman" w:hAnsi="Times New Roman" w:cs="Times New Roman" w:eastAsia="Times New Roman"/>
          <w:b w:val="0"/>
          <w:i w:val="0"/>
          <w:sz w:val="22"/>
        </w:rPr>
        <w:t xml:space="preserve">B.2.3. </w:t>
      </w:r>
      <w:r>
        <w:rPr>
          <w:rFonts w:ascii="Times New Roman" w:hAnsi="Times New Roman" w:cs="Times New Roman" w:eastAsia="Times New Roman"/>
          <w:b/>
          <w:i w:val="0"/>
          <w:sz w:val="22"/>
        </w:rPr>
        <w:t>Território:</w:t>
      </w:r>
      <w:r>
        <w:rPr>
          <w:rFonts w:ascii="Times New Roman" w:hAnsi="Times New Roman" w:cs="Times New Roman" w:eastAsia="Times New Roman"/>
          <w:b w:val="0"/>
          <w:i w:val="0"/>
          <w:sz w:val="22"/>
        </w:rPr>
        <w:t xml:space="preserve"> mundial, com exclusão da Federação da Rússia e de qualquer jurisdição em que a utilização seja proibida nos termos da cláusula C.14, salvo se o Formulário de Pedido fixar território mais restrito. O Parceiro não pode conceder, nem pretender conceder, qualquer direito relativo a território excluído. O território indicado </w:t>
      </w:r>
      <w:r>
        <w:rPr>
          <w:rFonts w:ascii="Times New Roman" w:hAnsi="Times New Roman" w:cs="Times New Roman" w:eastAsia="Times New Roman"/>
          <w:b/>
          <w:i w:val="0"/>
          <w:sz w:val="22"/>
        </w:rPr>
        <w:t>não é exclusivo</w:t>
      </w:r>
      <w:r>
        <w:rPr>
          <w:rFonts w:ascii="Times New Roman" w:hAnsi="Times New Roman" w:cs="Times New Roman" w:eastAsia="Times New Roman"/>
          <w:b w:val="0"/>
          <w:i w:val="0"/>
          <w:sz w:val="22"/>
        </w:rPr>
        <w:t>; o Licenciante pode designar outros parceiros no mesmo território e contratar diretamente com Clientes.</w:t>
      </w:r>
    </w:p>
    <w:p>
      <w:r>
        <w:rPr>
          <w:rFonts w:ascii="Times New Roman" w:hAnsi="Times New Roman" w:cs="Times New Roman" w:eastAsia="Times New Roman"/>
          <w:b w:val="0"/>
          <w:i w:val="0"/>
          <w:sz w:val="22"/>
        </w:rPr>
        <w:t>B.2.4. O Parceiro deve assegurar que todo o acordo com um Cliente inclui condições não menos protetoras do que as Condições para Clientes e a Parte C das presentes Condições, em especial as restrições de licença (A.3 das Condições para Clientes), as disposições sobre Conteúdo do Cliente e titularidade do Software (C.3, C.4), confidencialidade (C.7), limitação de responsabilidade (C.10) e consequências do termo da Subscrição (C.11). A obtenção da aceitação das Condições para Clientes pelo Cliente satisfaz esta obrigação.</w:t>
      </w:r>
    </w:p>
    <w:p>
      <w:r>
        <w:rPr>
          <w:rFonts w:ascii="Times New Roman" w:hAnsi="Times New Roman" w:cs="Times New Roman" w:eastAsia="Times New Roman"/>
          <w:b w:val="0"/>
          <w:i w:val="0"/>
          <w:sz w:val="22"/>
        </w:rPr>
        <w:t>B.2.5. O Parceiro responde perante o Licenciante pelos atos e omissões dos seus Clientes relativos ao Software como se fossem próprios.</w:t>
      </w:r>
    </w:p>
    <w:p>
      <w:pPr>
        <w:pStyle w:val="Heading2"/>
        <w:keepNext/>
      </w:pPr>
      <w:r>
        <w:rPr>
          <w:rFonts w:ascii="Times New Roman" w:hAnsi="Times New Roman" w:cs="Times New Roman" w:eastAsia="Times New Roman"/>
          <w:b/>
          <w:i w:val="0"/>
          <w:sz w:val="23"/>
        </w:rPr>
        <w:t>B.3. Obrigações do Parceiro</w:t>
      </w:r>
    </w:p>
    <w:p>
      <w:r>
        <w:rPr>
          <w:rFonts w:ascii="Times New Roman" w:hAnsi="Times New Roman" w:cs="Times New Roman" w:eastAsia="Times New Roman"/>
          <w:b w:val="0"/>
          <w:i w:val="0"/>
          <w:sz w:val="22"/>
        </w:rPr>
        <w:t>B.3.1. O Parceiro obriga-se a:</w:t>
      </w:r>
    </w:p>
    <w:p>
      <w:pPr>
        <w:spacing w:after="40"/>
        <w:ind w:left="709" w:hanging="425"/>
      </w:pPr>
      <w:r>
        <w:rPr>
          <w:rFonts w:ascii="Times New Roman" w:hAnsi="Times New Roman" w:cs="Times New Roman" w:eastAsia="Times New Roman"/>
          <w:b w:val="0"/>
          <w:i w:val="0"/>
          <w:sz w:val="22"/>
        </w:rPr>
        <w:t>1) realizar a digitalização espacial dos Locais, o registo de Máquinas Abrangidas e Dispositivos, a configuração e o desenvolvimento de cenários de acordo com a metodologia do Licenciante;</w:t>
      </w:r>
    </w:p>
    <w:p>
      <w:pPr>
        <w:spacing w:after="40"/>
        <w:ind w:left="709" w:hanging="425"/>
      </w:pPr>
      <w:r>
        <w:rPr>
          <w:rFonts w:ascii="Times New Roman" w:hAnsi="Times New Roman" w:cs="Times New Roman" w:eastAsia="Times New Roman"/>
          <w:b w:val="0"/>
          <w:i w:val="0"/>
          <w:sz w:val="22"/>
        </w:rPr>
        <w:t>2) prestar aos Clientes suporte de primeiro nível com padrão não inferior ao previsto no Anexo 3 para o Plano aplicável, e escalar corretamente para o segundo nível;</w:t>
      </w:r>
    </w:p>
    <w:p>
      <w:pPr>
        <w:spacing w:after="40"/>
        <w:ind w:left="709" w:hanging="425"/>
      </w:pPr>
      <w:r>
        <w:rPr>
          <w:rFonts w:ascii="Times New Roman" w:hAnsi="Times New Roman" w:cs="Times New Roman" w:eastAsia="Times New Roman"/>
          <w:b w:val="0"/>
          <w:i w:val="0"/>
          <w:sz w:val="22"/>
        </w:rPr>
        <w:t>3) formar o pessoal do Cliente;</w:t>
      </w:r>
    </w:p>
    <w:p>
      <w:pPr>
        <w:spacing w:after="40"/>
        <w:ind w:left="709" w:hanging="425"/>
      </w:pPr>
      <w:r>
        <w:rPr>
          <w:rFonts w:ascii="Times New Roman" w:hAnsi="Times New Roman" w:cs="Times New Roman" w:eastAsia="Times New Roman"/>
          <w:b w:val="0"/>
          <w:i w:val="0"/>
          <w:sz w:val="22"/>
        </w:rPr>
        <w:t>4) manter e apresentar a informação periódica prevista na cláusula B.4;</w:t>
      </w:r>
    </w:p>
    <w:p>
      <w:pPr>
        <w:spacing w:after="40"/>
        <w:ind w:left="709" w:hanging="425"/>
      </w:pPr>
      <w:r>
        <w:rPr>
          <w:rFonts w:ascii="Times New Roman" w:hAnsi="Times New Roman" w:cs="Times New Roman" w:eastAsia="Times New Roman"/>
          <w:b w:val="0"/>
          <w:i w:val="0"/>
          <w:sz w:val="22"/>
        </w:rPr>
        <w:t>5) comunicar ao Licenciante sem demora, e em qualquer caso no prazo de três (3) dias úteis a contar do conhecimento, qualquer suspeita de utilização não autorizada do Software, qualquer incidente de segurança e qualquer reclamação de terceiros relativa ao Software;</w:t>
      </w:r>
    </w:p>
    <w:p>
      <w:pPr>
        <w:spacing w:after="40"/>
        <w:ind w:left="709" w:hanging="425"/>
      </w:pPr>
      <w:r>
        <w:rPr>
          <w:rFonts w:ascii="Times New Roman" w:hAnsi="Times New Roman" w:cs="Times New Roman" w:eastAsia="Times New Roman"/>
          <w:b w:val="0"/>
          <w:i w:val="0"/>
          <w:sz w:val="22"/>
        </w:rPr>
        <w:t>6) não fazer afirmações comerciais sobre o Software não suportadas pela documentação oficial do Licenciante, incluindo qualquer afirmação de que são detidas as certificações enumeradas na cláusula C.8.3;</w:t>
      </w:r>
    </w:p>
    <w:p>
      <w:pPr>
        <w:spacing w:after="40"/>
        <w:ind w:left="709" w:hanging="425"/>
      </w:pPr>
      <w:r>
        <w:rPr>
          <w:rFonts w:ascii="Times New Roman" w:hAnsi="Times New Roman" w:cs="Times New Roman" w:eastAsia="Times New Roman"/>
          <w:b w:val="0"/>
          <w:i w:val="0"/>
          <w:sz w:val="22"/>
        </w:rPr>
        <w:t>7) manter a certificação nos termos das cláusulas B.1.2 e B.1.3.</w:t>
      </w:r>
    </w:p>
    <w:p>
      <w:r>
        <w:rPr>
          <w:rFonts w:ascii="Times New Roman" w:hAnsi="Times New Roman" w:cs="Times New Roman" w:eastAsia="Times New Roman"/>
          <w:b w:val="0"/>
          <w:i w:val="0"/>
          <w:sz w:val="22"/>
        </w:rPr>
        <w:t>B.3.2. O Parceiro suporta os seus próprios custos, incluindo pessoal, equipamento de digitalização, deslocações e ajudas de custo.</w:t>
      </w:r>
    </w:p>
    <w:p>
      <w:r>
        <w:rPr>
          <w:rFonts w:ascii="Times New Roman" w:hAnsi="Times New Roman" w:cs="Times New Roman" w:eastAsia="Times New Roman"/>
          <w:b w:val="0"/>
          <w:i w:val="0"/>
          <w:sz w:val="22"/>
        </w:rPr>
        <w:t>B.3.3. O Parceiro determina autonomamente o âmbito, o preço e as condições dos seus próprios serviços de implementação e suporte e responde exclusivamente por eles perante os Clientes. O Licenciante não é parte dos acordos entre o Parceiro e o Cliente nem responde pelas obrigações do Parceiro.</w:t>
      </w:r>
    </w:p>
    <w:p>
      <w:pPr>
        <w:pStyle w:val="Heading2"/>
        <w:keepNext/>
      </w:pPr>
      <w:r>
        <w:rPr>
          <w:rFonts w:ascii="Times New Roman" w:hAnsi="Times New Roman" w:cs="Times New Roman" w:eastAsia="Times New Roman"/>
          <w:b/>
          <w:i w:val="0"/>
          <w:sz w:val="23"/>
        </w:rPr>
        <w:t>B.4. Informação periódica e auditoria</w:t>
      </w:r>
    </w:p>
    <w:p>
      <w:r>
        <w:rPr>
          <w:rFonts w:ascii="Times New Roman" w:hAnsi="Times New Roman" w:cs="Times New Roman" w:eastAsia="Times New Roman"/>
          <w:b w:val="0"/>
          <w:i w:val="0"/>
          <w:sz w:val="22"/>
        </w:rPr>
        <w:t>B.4.1. Até ao dia dez (10) de cada mês, o Parceiro apresentará relatório de utilização do mês anterior, contendo, por cada Cliente: denominação e número de registo, Plano, Modelo de Implementação, Locais, número de Máquinas Abrangidas e Dispositivos, período da concessão e remuneração devida ao Licenciante.</w:t>
      </w:r>
    </w:p>
    <w:p>
      <w:r>
        <w:rPr>
          <w:rFonts w:ascii="Times New Roman" w:hAnsi="Times New Roman" w:cs="Times New Roman" w:eastAsia="Times New Roman"/>
          <w:b w:val="0"/>
          <w:i w:val="0"/>
          <w:sz w:val="22"/>
        </w:rPr>
        <w:t>B.4.2. Os relatórios são apresentados através do ARSY AI Space ou noutra forma acordada. Os dados registados no ARSY AI Space consideram-se confirmados se o Parceiro não deduzir oposição no prazo de cinco (5) dias úteis.</w:t>
      </w:r>
    </w:p>
    <w:p>
      <w:r>
        <w:rPr>
          <w:rFonts w:ascii="Times New Roman" w:hAnsi="Times New Roman" w:cs="Times New Roman" w:eastAsia="Times New Roman"/>
          <w:b w:val="0"/>
          <w:i w:val="0"/>
          <w:sz w:val="22"/>
        </w:rPr>
        <w:t>B.4.3. No máximo uma vez em cada doze (12) meses e com pré-aviso de quinze (15) dias úteis, o Licenciante pode auditar a exatidão da informação do Parceiro na parte respeitante ao Software. As auditorias realizam-se em horário de expediente, não podem perturbar de forma desrazoável a atividade do Parceiro e não abrangem informação alheia ao Software. Se a auditoria revelar subavaliação superior a cinco por cento (5 %), o Parceiro pagará a diferença e os custos razoáveis de auditoria do Licenciante.</w:t>
      </w:r>
    </w:p>
    <w:p>
      <w:pPr>
        <w:pStyle w:val="Heading2"/>
        <w:keepNext/>
      </w:pPr>
      <w:r>
        <w:rPr>
          <w:rFonts w:ascii="Times New Roman" w:hAnsi="Times New Roman" w:cs="Times New Roman" w:eastAsia="Times New Roman"/>
          <w:b/>
          <w:i w:val="0"/>
          <w:sz w:val="23"/>
        </w:rPr>
        <w:t>B.5. Preços do Parceiro</w:t>
      </w:r>
    </w:p>
    <w:p>
      <w:r>
        <w:rPr>
          <w:rFonts w:ascii="Times New Roman" w:hAnsi="Times New Roman" w:cs="Times New Roman" w:eastAsia="Times New Roman"/>
          <w:b w:val="0"/>
          <w:i w:val="0"/>
          <w:sz w:val="22"/>
        </w:rPr>
        <w:t>B.5.1. O Parceiro adquire direitos de utilização do Software para ulterior concessão aos valores da Tabela de Preços deduzidos do desconto de parceiro aplicável. Os níveis de desconto constam do Anexo 2 e/ou do Formulário de Pedido e podem depender do nível de parceria e do volume.</w:t>
      </w:r>
    </w:p>
    <w:p>
      <w:r>
        <w:rPr>
          <w:rFonts w:ascii="Times New Roman" w:hAnsi="Times New Roman" w:cs="Times New Roman" w:eastAsia="Times New Roman"/>
          <w:b w:val="0"/>
          <w:i w:val="0"/>
          <w:sz w:val="22"/>
        </w:rPr>
        <w:t xml:space="preserve">B.5.2. </w:t>
      </w:r>
      <w:r>
        <w:rPr>
          <w:rFonts w:ascii="Times New Roman" w:hAnsi="Times New Roman" w:cs="Times New Roman" w:eastAsia="Times New Roman"/>
          <w:b/>
          <w:i w:val="0"/>
          <w:sz w:val="22"/>
        </w:rPr>
        <w:t>O Parceiro determina, ao seu exclusivo critério, os preços pelos quais concede direitos de utilização do Software e presta os seus próprios serviços aos Clientes.</w:t>
      </w:r>
      <w:r>
        <w:rPr>
          <w:rFonts w:ascii="Times New Roman" w:hAnsi="Times New Roman" w:cs="Times New Roman" w:eastAsia="Times New Roman"/>
          <w:b w:val="0"/>
          <w:i w:val="0"/>
          <w:sz w:val="22"/>
        </w:rPr>
        <w:t xml:space="preserve"> Os preços publicados pelo Licenciante são meramente recomendados e não vinculam o Parceiro. Nada nas presentes Condições visa restringir a liberdade do Parceiro na fixação dos seus preços de revenda.</w:t>
      </w:r>
    </w:p>
    <w:p>
      <w:r>
        <w:rPr>
          <w:rFonts w:ascii="Times New Roman" w:hAnsi="Times New Roman" w:cs="Times New Roman" w:eastAsia="Times New Roman"/>
          <w:b w:val="0"/>
          <w:i w:val="0"/>
          <w:sz w:val="22"/>
        </w:rPr>
        <w:t>B.5.3. O registo de oportunidades é efetuado no ARSY AI Space. O procedimento, o prazo de proteção e as regras de resolução de conflitos constam do Anexo 2.</w:t>
      </w:r>
    </w:p>
    <w:p>
      <w:pPr>
        <w:pStyle w:val="Heading2"/>
        <w:keepNext/>
      </w:pPr>
      <w:r>
        <w:rPr>
          <w:rFonts w:ascii="Times New Roman" w:hAnsi="Times New Roman" w:cs="Times New Roman" w:eastAsia="Times New Roman"/>
          <w:b/>
          <w:i w:val="0"/>
          <w:sz w:val="23"/>
        </w:rPr>
        <w:t>B.6. Sinais distintivos</w:t>
      </w:r>
    </w:p>
    <w:p>
      <w:r>
        <w:rPr>
          <w:rFonts w:ascii="Times New Roman" w:hAnsi="Times New Roman" w:cs="Times New Roman" w:eastAsia="Times New Roman"/>
          <w:b w:val="0"/>
          <w:i w:val="0"/>
          <w:sz w:val="22"/>
        </w:rPr>
        <w:t>B.6.1. Durante a vigência do contrato, o Licenciante concede ao Parceiro o direito não exclusivo de utilizar os sinais «ARSY AI» e «AR Clip VPS», os logótipos e demais sinais distintivos do Licenciante, exclusivamente para promover e comercializar o Software e em estrita observância das diretrizes de marca do Licenciante.</w:t>
      </w:r>
    </w:p>
    <w:p>
      <w:r>
        <w:rPr>
          <w:rFonts w:ascii="Times New Roman" w:hAnsi="Times New Roman" w:cs="Times New Roman" w:eastAsia="Times New Roman"/>
          <w:b w:val="0"/>
          <w:i w:val="0"/>
          <w:sz w:val="22"/>
        </w:rPr>
        <w:t>B.6.2. O Parceiro não pode registar sinais suscetíveis de confusão, nem incorporar os sinais do Licenciante na sua firma, nomes de domínio ou contas em redes sociais sem consentimento escrito, nem utilizá-los de modo a sugerir que o Parceiro é titular do Software.</w:t>
      </w:r>
    </w:p>
    <w:p>
      <w:r>
        <w:rPr>
          <w:rFonts w:ascii="Times New Roman" w:hAnsi="Times New Roman" w:cs="Times New Roman" w:eastAsia="Times New Roman"/>
          <w:b w:val="0"/>
          <w:i w:val="0"/>
          <w:sz w:val="22"/>
        </w:rPr>
        <w:t>B.6.3. Estes direitos extinguem-se com o contrato; o Parceiro cessará toda essa utilização no prazo de trinta (30) dias.</w:t>
      </w:r>
    </w:p>
    <w:p>
      <w:pPr>
        <w:pStyle w:val="Heading2"/>
        <w:keepNext/>
      </w:pPr>
      <w:r>
        <w:rPr>
          <w:rFonts w:ascii="Times New Roman" w:hAnsi="Times New Roman" w:cs="Times New Roman" w:eastAsia="Times New Roman"/>
          <w:b/>
          <w:i w:val="0"/>
          <w:sz w:val="23"/>
        </w:rPr>
        <w:t>B.7. Continuidade dos Clientes na cessação do contrato do Parceiro</w:t>
      </w:r>
    </w:p>
    <w:p>
      <w:r>
        <w:rPr>
          <w:rFonts w:ascii="Times New Roman" w:hAnsi="Times New Roman" w:cs="Times New Roman" w:eastAsia="Times New Roman"/>
          <w:b w:val="0"/>
          <w:i w:val="0"/>
          <w:sz w:val="22"/>
        </w:rPr>
        <w:t>B.7.1. A cessação do contrato com um Parceiro não extingue, por si só, os direitos já concedidos aos Clientes, desde que a remuneração correspondente ao Período de Faturação pago tenha chegado ao Licenciante.</w:t>
      </w:r>
    </w:p>
    <w:p>
      <w:r>
        <w:rPr>
          <w:rFonts w:ascii="Times New Roman" w:hAnsi="Times New Roman" w:cs="Times New Roman" w:eastAsia="Times New Roman"/>
          <w:b w:val="0"/>
          <w:i w:val="0"/>
          <w:sz w:val="22"/>
        </w:rPr>
        <w:t>B.7.2. Na cessação, o Licenciante pode assumir o acompanhamento dos Clientes afetados ou transferi-lo para outro parceiro certificado. O Parceiro entregará, no prazo de vinte (20) dias úteis e com sujeição às suas obrigações perante esses Clientes, a informação e os materiais necessários a um acompanhamento ininterrupto (configurações, cenários, contactos dos responsáveis).</w:t>
      </w:r>
    </w:p>
    <w:p>
      <w:pPr>
        <w:pStyle w:val="Heading1"/>
        <w:keepNext/>
        <w:pageBreakBefore/>
        <w:jc w:val="center"/>
      </w:pPr>
      <w:r>
        <w:rPr>
          <w:rFonts w:ascii="Times New Roman" w:hAnsi="Times New Roman" w:cs="Times New Roman" w:eastAsia="Times New Roman"/>
          <w:b/>
          <w:i w:val="0"/>
          <w:sz w:val="26"/>
        </w:rPr>
        <w:t>PARTE C. CONDIÇÕES GERAIS</w:t>
      </w:r>
    </w:p>
    <w:p>
      <w:pPr>
        <w:pStyle w:val="Heading2"/>
        <w:keepNext/>
      </w:pPr>
      <w:r>
        <w:rPr>
          <w:rFonts w:ascii="Times New Roman" w:hAnsi="Times New Roman" w:cs="Times New Roman" w:eastAsia="Times New Roman"/>
          <w:b/>
          <w:i w:val="0"/>
          <w:sz w:val="23"/>
        </w:rPr>
        <w:t>C.1. Remuneração e pagamento</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Estrutura da remuneração:</w:t>
      </w:r>
    </w:p>
    <w:p>
      <w:pPr>
        <w:spacing w:after="40"/>
        <w:ind w:left="709" w:hanging="425"/>
      </w:pPr>
      <w:r>
        <w:rPr>
          <w:rFonts w:ascii="Times New Roman" w:hAnsi="Times New Roman" w:cs="Times New Roman" w:eastAsia="Times New Roman"/>
          <w:b w:val="0"/>
          <w:i w:val="0"/>
          <w:sz w:val="22"/>
        </w:rPr>
        <w:t xml:space="preserve">1) uma </w:t>
      </w:r>
      <w:r>
        <w:rPr>
          <w:rFonts w:ascii="Times New Roman" w:hAnsi="Times New Roman" w:cs="Times New Roman" w:eastAsia="Times New Roman"/>
          <w:b/>
          <w:i w:val="0"/>
          <w:sz w:val="22"/>
        </w:rPr>
        <w:t>taxa base por Local</w:t>
      </w:r>
      <w:r>
        <w:rPr>
          <w:rFonts w:ascii="Times New Roman" w:hAnsi="Times New Roman" w:cs="Times New Roman" w:eastAsia="Times New Roman"/>
          <w:b w:val="0"/>
          <w:i w:val="0"/>
          <w:sz w:val="22"/>
        </w:rPr>
        <w:t>, consoante o Plano;</w:t>
      </w:r>
    </w:p>
    <w:p>
      <w:pPr>
        <w:spacing w:after="40"/>
        <w:ind w:left="709" w:hanging="425"/>
      </w:pPr>
      <w:r>
        <w:rPr>
          <w:rFonts w:ascii="Times New Roman" w:hAnsi="Times New Roman" w:cs="Times New Roman" w:eastAsia="Times New Roman"/>
          <w:b w:val="0"/>
          <w:i w:val="0"/>
          <w:sz w:val="22"/>
        </w:rPr>
        <w:t xml:space="preserve">2) uma </w:t>
      </w:r>
      <w:r>
        <w:rPr>
          <w:rFonts w:ascii="Times New Roman" w:hAnsi="Times New Roman" w:cs="Times New Roman" w:eastAsia="Times New Roman"/>
          <w:b/>
          <w:i w:val="0"/>
          <w:sz w:val="22"/>
        </w:rPr>
        <w:t>taxa mensal por Máquina Abrangida</w:t>
      </w:r>
      <w:r>
        <w:rPr>
          <w:rFonts w:ascii="Times New Roman" w:hAnsi="Times New Roman" w:cs="Times New Roman" w:eastAsia="Times New Roman"/>
          <w:b w:val="0"/>
          <w:i w:val="0"/>
          <w:sz w:val="22"/>
        </w:rPr>
        <w:t xml:space="preserve"> — de modo que o custo acompanha a quantidade de equipamento abrangido pela orientação em RA;</w:t>
      </w:r>
    </w:p>
    <w:p>
      <w:pPr>
        <w:spacing w:after="40"/>
        <w:ind w:left="709" w:hanging="425"/>
      </w:pPr>
      <w:r>
        <w:rPr>
          <w:rFonts w:ascii="Times New Roman" w:hAnsi="Times New Roman" w:cs="Times New Roman" w:eastAsia="Times New Roman"/>
          <w:b w:val="0"/>
          <w:i w:val="0"/>
          <w:sz w:val="22"/>
        </w:rPr>
        <w:t>3) montantes únicos e periódicos pelas opções On-Premise (implementação em servidor local, licença de servidor local, integrações, suporte de integrações), nos termos do Anexo 2.</w:t>
      </w:r>
    </w:p>
    <w:p>
      <w:r>
        <w:rPr>
          <w:rFonts w:ascii="Times New Roman" w:hAnsi="Times New Roman" w:cs="Times New Roman" w:eastAsia="Times New Roman"/>
          <w:b w:val="0"/>
          <w:i w:val="0"/>
          <w:sz w:val="22"/>
        </w:rPr>
        <w:t>C.1.2. O número de Utilizadores não influencia a remuneração.</w:t>
      </w:r>
    </w:p>
    <w:p>
      <w:r>
        <w:rPr>
          <w:rFonts w:ascii="Times New Roman" w:hAnsi="Times New Roman" w:cs="Times New Roman" w:eastAsia="Times New Roman"/>
          <w:b w:val="0"/>
          <w:i w:val="0"/>
          <w:sz w:val="22"/>
        </w:rPr>
        <w:t>C.1.3. A remuneração de cada contrato é fixada no Formulário de Pedido com base na Tabela de Preços em vigor à data da fatura. Os preços indicados em arsy.ai são preços de tabela indicativos e não constituem oferta quanto ao seu montante.</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Condições de pagamento:</w:t>
      </w:r>
      <w:r>
        <w:rPr>
          <w:rFonts w:ascii="Times New Roman" w:hAnsi="Times New Roman" w:cs="Times New Roman" w:eastAsia="Times New Roman"/>
          <w:b w:val="0"/>
          <w:i w:val="0"/>
          <w:sz w:val="22"/>
        </w:rPr>
        <w:t xml:space="preserve"> 100 % antecipadamente por cada Período de Faturação contra fatura do Licenciante, salvo disposição diversa do Formulário de Pedido. O Período de Faturação é de um mês ou de um ano, conforme escolha no Formulário de Pedido.</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Desconto anual.</w:t>
      </w:r>
      <w:r>
        <w:rPr>
          <w:rFonts w:ascii="Times New Roman" w:hAnsi="Times New Roman" w:cs="Times New Roman" w:eastAsia="Times New Roman"/>
          <w:b w:val="0"/>
          <w:i w:val="0"/>
          <w:sz w:val="22"/>
        </w:rPr>
        <w:t xml:space="preserve"> Sendo escolhido Período de Faturação anual, aplica-se um desconto de vinte por cento (20 %) sobre a soma das mensalidades correspondentes a doze meses.</w:t>
      </w:r>
    </w:p>
    <w:p>
      <w:r>
        <w:rPr>
          <w:rFonts w:ascii="Times New Roman" w:hAnsi="Times New Roman" w:cs="Times New Roman" w:eastAsia="Times New Roman"/>
          <w:b w:val="0"/>
          <w:i w:val="0"/>
          <w:sz w:val="22"/>
        </w:rPr>
        <w:t>C.1.6. O pagamento considera-se efetuado com o crédito dos fundos na conta do Licenciante. Todos os encargos bancários, incluindo comissões de bancos correspondentes, são suportados pelo ordenante.</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Impostos.</w:t>
      </w:r>
      <w:r>
        <w:rPr>
          <w:rFonts w:ascii="Times New Roman" w:hAnsi="Times New Roman" w:cs="Times New Roman" w:eastAsia="Times New Roman"/>
          <w:b w:val="0"/>
          <w:i w:val="0"/>
          <w:sz w:val="22"/>
        </w:rPr>
        <w:t xml:space="preserve"> Todos os montantes são apresentados sem IVA nem impostos indiretos análogos, que a Contraparte suportará adicionalmente à taxa aplicável. Se a Contraparte estiver legalmente obrigada a efetuar retenção ou dedução sobre um pagamento, o montante devido será acrescido de modo que o Licenciante receba a quantia que teria recebido sem retenção; a Contraparte facultará os comprovativos oficiais dos montantes retidos. Quando couber à Contraparte liquidar o imposto por autoliquidação na sua jurisdição, fá-lo-á e comprovará mediante solicitação.</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Alterações de preços.</w:t>
      </w:r>
      <w:r>
        <w:rPr>
          <w:rFonts w:ascii="Times New Roman" w:hAnsi="Times New Roman" w:cs="Times New Roman" w:eastAsia="Times New Roman"/>
          <w:b w:val="0"/>
          <w:i w:val="0"/>
          <w:sz w:val="22"/>
        </w:rPr>
        <w:t xml:space="preserve"> O Licenciante pode alterar a Tabela de Preços. Os preços alterados aplicam-se a Períodos de Faturação que se iniciem não antes de sessenta (60) dias a contar da comunicação, e nunca a Período de Faturação já pago.</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Mora no pagamento.</w:t>
      </w:r>
      <w:r>
        <w:rPr>
          <w:rFonts w:ascii="Times New Roman" w:hAnsi="Times New Roman" w:cs="Times New Roman" w:eastAsia="Times New Roman"/>
          <w:b w:val="0"/>
          <w:i w:val="0"/>
          <w:sz w:val="22"/>
        </w:rPr>
        <w:t xml:space="preserve"> Se o pagamento se atrasar mais de dez (10) dias úteis, o Licenciante pode, mediante comunicação prévia, suspender o acesso até à regularização. A suspensão não equivale a resolução, não prorroga o Prazo da Licença nem exonera da obrigação de pagamento. O Licenciante pode aplicar sobre os montantes vencidos juros de um por cento (1 %) ao mês ou a taxa máxima permitida pela lei aplicável, consoante a que for inferior, vencidos diariamente desde o vencimento até ao pagamento.</w:t>
      </w:r>
    </w:p>
    <w:p>
      <w:pPr>
        <w:pStyle w:val="Heading2"/>
        <w:keepNext/>
      </w:pPr>
      <w:r>
        <w:rPr>
          <w:rFonts w:ascii="Times New Roman" w:hAnsi="Times New Roman" w:cs="Times New Roman" w:eastAsia="Times New Roman"/>
          <w:b/>
          <w:i w:val="0"/>
          <w:sz w:val="23"/>
        </w:rPr>
        <w:t>C.2. Documentação e registos</w:t>
      </w:r>
    </w:p>
    <w:p>
      <w:r>
        <w:rPr>
          <w:rFonts w:ascii="Times New Roman" w:hAnsi="Times New Roman" w:cs="Times New Roman" w:eastAsia="Times New Roman"/>
          <w:b w:val="0"/>
          <w:i w:val="0"/>
          <w:sz w:val="22"/>
        </w:rPr>
        <w:t>C.2.1. O Licenciante emite fatura por cada Período de Faturação. Quando a jurisdição da Contraparte exija documento de aceitação assinado, o Licenciante emiti-lo-á no prazo de cinco (5) dias úteis a contar do termo do período em causa.</w:t>
      </w:r>
    </w:p>
    <w:p>
      <w:r>
        <w:rPr>
          <w:rFonts w:ascii="Times New Roman" w:hAnsi="Times New Roman" w:cs="Times New Roman" w:eastAsia="Times New Roman"/>
          <w:b w:val="0"/>
          <w:i w:val="0"/>
          <w:sz w:val="22"/>
        </w:rPr>
        <w:t>C.2.2. Emitido tal documento, a Contraparte deve assiná-lo ou apresentar oposição fundamentada no prazo de cinco (5) dias úteis a contar da receção. Na falta de ambos, as obrigações do Licenciante relativas a esse período consideram-se integralmente cumpridas e aceites.</w:t>
      </w:r>
    </w:p>
    <w:p>
      <w:r>
        <w:rPr>
          <w:rFonts w:ascii="Times New Roman" w:hAnsi="Times New Roman" w:cs="Times New Roman" w:eastAsia="Times New Roman"/>
          <w:b w:val="0"/>
          <w:i w:val="0"/>
          <w:sz w:val="22"/>
        </w:rPr>
        <w:t>C.2.3. As partes reconhecem plena eficácia jurídica aos documentos assinados com assinatura eletrónica qualificada e trocados através de prestadores de serviços de troca eletrónica de documentos.</w:t>
      </w:r>
    </w:p>
    <w:p>
      <w:pPr>
        <w:pStyle w:val="Heading2"/>
        <w:keepNext/>
      </w:pPr>
      <w:r>
        <w:rPr>
          <w:rFonts w:ascii="Times New Roman" w:hAnsi="Times New Roman" w:cs="Times New Roman" w:eastAsia="Times New Roman"/>
          <w:b/>
          <w:i w:val="0"/>
          <w:sz w:val="23"/>
        </w:rPr>
        <w:t>C.3. Conteúdo do Cliente</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O Conteúdo do Cliente pertence à Contraparte que o introduz no Software ou com ele o cria.</w:t>
      </w:r>
      <w:r>
        <w:rPr>
          <w:rFonts w:ascii="Times New Roman" w:hAnsi="Times New Roman" w:cs="Times New Roman" w:eastAsia="Times New Roman"/>
          <w:b w:val="0"/>
          <w:i w:val="0"/>
          <w:sz w:val="22"/>
        </w:rPr>
        <w:t xml:space="preserve"> Nem o Licenciante nem sociedades do seu grupo adquirem titularidade ou outros direitos sobre o Conteúdo do Cliente, salvo a licença limitada da cláusula C.3.2.</w:t>
      </w:r>
    </w:p>
    <w:p>
      <w:r>
        <w:rPr>
          <w:rFonts w:ascii="Times New Roman" w:hAnsi="Times New Roman" w:cs="Times New Roman" w:eastAsia="Times New Roman"/>
          <w:b w:val="0"/>
          <w:i w:val="0"/>
          <w:sz w:val="22"/>
        </w:rPr>
        <w:t xml:space="preserve">C.3.2. A Contraparte concede ao Licenciante uma licença não exclusiva e gratuita para alojar, armazenar, tratar e adaptar tecnicamente o Conteúdo do Cliente </w:t>
      </w:r>
      <w:r>
        <w:rPr>
          <w:rFonts w:ascii="Times New Roman" w:hAnsi="Times New Roman" w:cs="Times New Roman" w:eastAsia="Times New Roman"/>
          <w:b/>
          <w:i w:val="0"/>
          <w:sz w:val="22"/>
        </w:rPr>
        <w:t>exclusivamente na medida necessária à operação do Software e à prestação de suporte, e apenas durante o Prazo da Licença.</w:t>
      </w:r>
      <w:r>
        <w:rPr>
          <w:rFonts w:ascii="Times New Roman" w:hAnsi="Times New Roman" w:cs="Times New Roman" w:eastAsia="Times New Roman"/>
          <w:b w:val="0"/>
          <w:i w:val="0"/>
          <w:sz w:val="22"/>
        </w:rPr>
        <w:t xml:space="preserve"> Essa licença extingue-se com o termo do Prazo da Licença, com sujeição à cláusula C.11.</w:t>
      </w:r>
    </w:p>
    <w:p>
      <w:r>
        <w:rPr>
          <w:rFonts w:ascii="Times New Roman" w:hAnsi="Times New Roman" w:cs="Times New Roman" w:eastAsia="Times New Roman"/>
          <w:b w:val="0"/>
          <w:i w:val="0"/>
          <w:sz w:val="22"/>
        </w:rPr>
        <w:t>C.3.3. No modelo On-Premise, o Conteúdo do Cliente não sai da infraestrutura da Contraparte nem é transmitido ao Licenciante. O Licenciante acede ao Conteúdo do Cliente apenas quando a Contraparte solicita suporte, na medida e pelo tempo necessários à resolução do pedido e com conhecimento daquela.</w:t>
      </w:r>
    </w:p>
    <w:p>
      <w:r>
        <w:rPr>
          <w:rFonts w:ascii="Times New Roman" w:hAnsi="Times New Roman" w:cs="Times New Roman" w:eastAsia="Times New Roman"/>
          <w:b w:val="0"/>
          <w:i w:val="0"/>
          <w:sz w:val="22"/>
        </w:rPr>
        <w:t>C.3.4. A Contraparte garante que dispõe de todos os direitos necessários para introduzir o Conteúdo do Cliente no Software — incluindo documentação técnica, imagens e objetos captados durante a digitalização dos Locais — e que tal não viola direitos de terceiros.</w:t>
      </w:r>
    </w:p>
    <w:p>
      <w:r>
        <w:rPr>
          <w:rFonts w:ascii="Times New Roman" w:hAnsi="Times New Roman" w:cs="Times New Roman" w:eastAsia="Times New Roman"/>
          <w:b w:val="0"/>
          <w:i w:val="0"/>
          <w:sz w:val="22"/>
        </w:rPr>
        <w:t>C.3.5. O Licenciante não analisa previamente o Conteúdo do Cliente e não responde pelo seu conteúdo, licitude ou exatidão.</w:t>
      </w:r>
    </w:p>
    <w:p>
      <w:pPr>
        <w:pStyle w:val="Heading2"/>
        <w:keepNext/>
      </w:pPr>
      <w:r>
        <w:rPr>
          <w:rFonts w:ascii="Times New Roman" w:hAnsi="Times New Roman" w:cs="Times New Roman" w:eastAsia="Times New Roman"/>
          <w:b/>
          <w:i w:val="0"/>
          <w:sz w:val="23"/>
        </w:rPr>
        <w:t>C.4. Titularidade do Software</w:t>
      </w:r>
    </w:p>
    <w:p>
      <w:r>
        <w:rPr>
          <w:rFonts w:ascii="Times New Roman" w:hAnsi="Times New Roman" w:cs="Times New Roman" w:eastAsia="Times New Roman"/>
          <w:b w:val="0"/>
          <w:i w:val="0"/>
          <w:sz w:val="22"/>
        </w:rPr>
        <w:t xml:space="preserve">C.4.1. Os direitos de propriedade intelectual sobre o Software no território abrangido pelas presentes Condições — incluindo o sistema de posicionamento AR Clip VPS, o agente de IA e os modelos treinados, as interfaces de utilizador, a documentação e todas as atualizações e melhorias — pertencem à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A subscrição confere o direito de os utilizar; não transmite qualquer direito sobre eles.</w:t>
      </w:r>
    </w:p>
    <w:p>
      <w:r>
        <w:rPr>
          <w:rFonts w:ascii="Times New Roman" w:hAnsi="Times New Roman" w:cs="Times New Roman" w:eastAsia="Times New Roman"/>
          <w:b w:val="0"/>
          <w:i w:val="0"/>
          <w:sz w:val="22"/>
        </w:rPr>
        <w:t>C.4.2. Toda a propriedade intelectual criada pelo Licenciante no desenvolvimento do Software, incluindo a criada a partir de sugestões ou comentários da Contraparte, pertence ao Licenciante. A prestação de comentários não gera direitos para a Contraparte nem obrigação de os remunerar.</w:t>
      </w:r>
    </w:p>
    <w:p>
      <w:r>
        <w:rPr>
          <w:rFonts w:ascii="Times New Roman" w:hAnsi="Times New Roman" w:cs="Times New Roman" w:eastAsia="Times New Roman"/>
          <w:b w:val="0"/>
          <w:i w:val="0"/>
          <w:sz w:val="22"/>
        </w:rPr>
        <w:t>C.4.3. A lógica desenvolvida à medida para a Contraparte (esteja incluída no Plano ou seja paga em separado) passa a integrar o Software e pertence ao Licenciante; a Contraparte obtém o direito de a utilizar nos termos das presentes Condições.</w:t>
      </w:r>
    </w:p>
    <w:p>
      <w:r>
        <w:rPr>
          <w:rFonts w:ascii="Times New Roman" w:hAnsi="Times New Roman" w:cs="Times New Roman" w:eastAsia="Times New Roman"/>
          <w:b w:val="0"/>
          <w:i w:val="0"/>
          <w:sz w:val="22"/>
        </w:rPr>
        <w:t>C.4.4. A Contraparte comunicará sem demora ao Licenciante qualquer violação dos direitos sobre o Software de que tome conhecimento.</w:t>
      </w:r>
    </w:p>
    <w:p>
      <w:pPr>
        <w:pStyle w:val="Heading2"/>
        <w:keepNext/>
      </w:pPr>
      <w:r>
        <w:rPr>
          <w:rFonts w:ascii="Times New Roman" w:hAnsi="Times New Roman" w:cs="Times New Roman" w:eastAsia="Times New Roman"/>
          <w:b/>
          <w:i w:val="0"/>
          <w:sz w:val="23"/>
        </w:rPr>
        <w:t>C.5. Dados de funcionamento</w:t>
      </w:r>
    </w:p>
    <w:p>
      <w:r>
        <w:rPr>
          <w:rFonts w:ascii="Times New Roman" w:hAnsi="Times New Roman" w:cs="Times New Roman" w:eastAsia="Times New Roman"/>
          <w:b w:val="0"/>
          <w:i w:val="0"/>
          <w:sz w:val="22"/>
        </w:rPr>
        <w:t xml:space="preserve">C.5.1. O Licenciante pode recolher e utilizar </w:t>
      </w:r>
      <w:r>
        <w:rPr>
          <w:rFonts w:ascii="Times New Roman" w:hAnsi="Times New Roman" w:cs="Times New Roman" w:eastAsia="Times New Roman"/>
          <w:b/>
          <w:i w:val="0"/>
          <w:sz w:val="22"/>
        </w:rPr>
        <w:t>Métricas Agregadas</w:t>
      </w:r>
      <w:r>
        <w:rPr>
          <w:rFonts w:ascii="Times New Roman" w:hAnsi="Times New Roman" w:cs="Times New Roman" w:eastAsia="Times New Roman"/>
          <w:b w:val="0"/>
          <w:i w:val="0"/>
          <w:sz w:val="22"/>
        </w:rPr>
        <w:t xml:space="preserve"> para operar, proteger, diagnosticar e melhorar o Software. As Métricas Agregadas não contêm Conteúdo do Cliente e não permitem identificar a Contraparte, o seu Local, o seu equipamento ou qualquer pessoa singular.</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O Licenciante não adquire quaisquer outros direitos sobre os dados da Contraparte.</w:t>
      </w:r>
      <w:r>
        <w:rPr>
          <w:rFonts w:ascii="Times New Roman" w:hAnsi="Times New Roman" w:cs="Times New Roman" w:eastAsia="Times New Roman"/>
          <w:b w:val="0"/>
          <w:i w:val="0"/>
          <w:sz w:val="22"/>
        </w:rPr>
        <w:t xml:space="preserve"> O Conteúdo do Cliente não é utilizado para treinar modelos de aprendizagem automática disponibilizados a terceiros sem consentimento escrito e autónomo da Contraparte.</w:t>
      </w:r>
    </w:p>
    <w:p>
      <w:r>
        <w:rPr>
          <w:rFonts w:ascii="Times New Roman" w:hAnsi="Times New Roman" w:cs="Times New Roman" w:eastAsia="Times New Roman"/>
          <w:b w:val="0"/>
          <w:i w:val="0"/>
          <w:sz w:val="22"/>
        </w:rPr>
        <w:t>C.5.3. No modelo On-Premise não sai qualquer dado da rede da Contraparte — nem Métricas Agregadas — salvo se esta ativar a opção correspondente. Uma Instância On-Premise pode funcionar integralmente sem ligação à internet.</w:t>
      </w:r>
    </w:p>
    <w:p>
      <w:pPr>
        <w:pStyle w:val="Heading2"/>
        <w:keepNext/>
      </w:pPr>
      <w:r>
        <w:rPr>
          <w:rFonts w:ascii="Times New Roman" w:hAnsi="Times New Roman" w:cs="Times New Roman" w:eastAsia="Times New Roman"/>
          <w:b/>
          <w:i w:val="0"/>
          <w:sz w:val="23"/>
        </w:rPr>
        <w:t>C.6. Proteção de dados</w:t>
      </w:r>
    </w:p>
    <w:p>
      <w:r>
        <w:rPr>
          <w:rFonts w:ascii="Times New Roman" w:hAnsi="Times New Roman" w:cs="Times New Roman" w:eastAsia="Times New Roman"/>
          <w:b w:val="0"/>
          <w:i w:val="0"/>
          <w:sz w:val="22"/>
        </w:rPr>
        <w:t xml:space="preserve">C.6.1. Quanto aos dados pessoais tratados no Software, a Contraparte é </w:t>
      </w:r>
      <w:r>
        <w:rPr>
          <w:rFonts w:ascii="Times New Roman" w:hAnsi="Times New Roman" w:cs="Times New Roman" w:eastAsia="Times New Roman"/>
          <w:b/>
          <w:i w:val="0"/>
          <w:sz w:val="22"/>
        </w:rPr>
        <w:t>responsável pelo tratamento</w:t>
      </w:r>
      <w:r>
        <w:rPr>
          <w:rFonts w:ascii="Times New Roman" w:hAnsi="Times New Roman" w:cs="Times New Roman" w:eastAsia="Times New Roman"/>
          <w:b w:val="0"/>
          <w:i w:val="0"/>
          <w:sz w:val="22"/>
        </w:rPr>
        <w:t xml:space="preserve"> e o Licenciante é </w:t>
      </w:r>
      <w:r>
        <w:rPr>
          <w:rFonts w:ascii="Times New Roman" w:hAnsi="Times New Roman" w:cs="Times New Roman" w:eastAsia="Times New Roman"/>
          <w:b/>
          <w:i w:val="0"/>
          <w:sz w:val="22"/>
        </w:rPr>
        <w:t>subcontratante</w:t>
      </w:r>
      <w:r>
        <w:rPr>
          <w:rFonts w:ascii="Times New Roman" w:hAnsi="Times New Roman" w:cs="Times New Roman" w:eastAsia="Times New Roman"/>
          <w:b w:val="0"/>
          <w:i w:val="0"/>
          <w:sz w:val="22"/>
        </w:rPr>
        <w:t>. Compete à Contraparte o fundamento de licitude do tratamento, a informação aos titulares dos dados e a obtenção dos consentimentos necessários.</w:t>
      </w:r>
    </w:p>
    <w:p>
      <w:r>
        <w:rPr>
          <w:rFonts w:ascii="Times New Roman" w:hAnsi="Times New Roman" w:cs="Times New Roman" w:eastAsia="Times New Roman"/>
          <w:b w:val="0"/>
          <w:i w:val="0"/>
          <w:sz w:val="22"/>
        </w:rPr>
        <w:t xml:space="preserve">C.6.2. No modelo de Nuvem Gerida, o Licenciante trata os dados pessoais apenas de acordo com instruções documentadas da Contraparte, nos termos do </w:t>
      </w:r>
      <w:r>
        <w:rPr>
          <w:rFonts w:ascii="Times New Roman" w:hAnsi="Times New Roman" w:cs="Times New Roman" w:eastAsia="Times New Roman"/>
          <w:b/>
          <w:i w:val="0"/>
          <w:sz w:val="22"/>
        </w:rPr>
        <w:t>Acordo de Subcontratação constante do Anexo 4</w:t>
      </w:r>
      <w:r>
        <w:rPr>
          <w:rFonts w:ascii="Times New Roman" w:hAnsi="Times New Roman" w:cs="Times New Roman" w:eastAsia="Times New Roman"/>
          <w:b w:val="0"/>
          <w:i w:val="0"/>
          <w:sz w:val="22"/>
        </w:rPr>
        <w:t>, que integra as presentes Condições e cumpre o artigo 28.º do Regulamento (UE) 2016/679 (RGPD) e os requisitos equivalentes do RGPD do Reino Unido.</w:t>
      </w:r>
    </w:p>
    <w:p>
      <w:r>
        <w:rPr>
          <w:rFonts w:ascii="Times New Roman" w:hAnsi="Times New Roman" w:cs="Times New Roman" w:eastAsia="Times New Roman"/>
          <w:b w:val="0"/>
          <w:i w:val="0"/>
          <w:sz w:val="22"/>
        </w:rPr>
        <w:t>C.6.3. No modelo On-Premise não são transmitidos dados pessoais ao Licenciante e o Anexo 4 aplica-se apenas ao acesso de suporte concedido nos termos da cláusula C.3.3.</w:t>
      </w:r>
    </w:p>
    <w:p>
      <w:r>
        <w:rPr>
          <w:rFonts w:ascii="Times New Roman" w:hAnsi="Times New Roman" w:cs="Times New Roman" w:eastAsia="Times New Roman"/>
          <w:b w:val="0"/>
          <w:i w:val="0"/>
          <w:sz w:val="22"/>
        </w:rPr>
        <w:t>C.6.4. As transferências internacionais, quando ocorram, realizam-se ao abrigo de um mecanismo de transferência admitido nos termos do Anexo 4, incluindo as Cláusulas Contratuais-Tipo da UE e, quando aplicável, o UK International Data Transfer Addendum.</w:t>
      </w:r>
    </w:p>
    <w:p>
      <w:r>
        <w:rPr>
          <w:rFonts w:ascii="Times New Roman" w:hAnsi="Times New Roman" w:cs="Times New Roman" w:eastAsia="Times New Roman"/>
          <w:b w:val="0"/>
          <w:i w:val="0"/>
          <w:sz w:val="22"/>
        </w:rPr>
        <w:t>C.6.5. Quando a Contraparte esteja sujeita a exigências de localização de dados, a região de alojamento aplicável é indicada no Formulário de Pedido e no Anexo 4.</w:t>
      </w:r>
    </w:p>
    <w:p>
      <w:r>
        <w:rPr>
          <w:rFonts w:ascii="Times New Roman" w:hAnsi="Times New Roman" w:cs="Times New Roman" w:eastAsia="Times New Roman"/>
          <w:b w:val="0"/>
          <w:i w:val="0"/>
          <w:sz w:val="22"/>
        </w:rPr>
        <w:t>C.6.6. A Contraparte deve comunicar por escrito ao Licenciante, previamente, o tratamento no Software de categorias especiais de dados pessoais ou de dados biométricos. Na falta de tal comunicação, o Licenciante atuará no pressuposto de que tais dados não são tratados.</w:t>
      </w:r>
    </w:p>
    <w:p>
      <w:pPr>
        <w:pStyle w:val="Heading2"/>
        <w:keepNext/>
      </w:pPr>
      <w:r>
        <w:rPr>
          <w:rFonts w:ascii="Times New Roman" w:hAnsi="Times New Roman" w:cs="Times New Roman" w:eastAsia="Times New Roman"/>
          <w:b/>
          <w:i w:val="0"/>
          <w:sz w:val="23"/>
        </w:rPr>
        <w:t>C.7. Confidencialidade</w:t>
      </w:r>
    </w:p>
    <w:p>
      <w:r>
        <w:rPr>
          <w:rFonts w:ascii="Times New Roman" w:hAnsi="Times New Roman" w:cs="Times New Roman" w:eastAsia="Times New Roman"/>
          <w:b w:val="0"/>
          <w:i w:val="0"/>
          <w:sz w:val="22"/>
        </w:rPr>
        <w:t xml:space="preserve">C.7.1. Entende-se por </w:t>
      </w:r>
      <w:r>
        <w:rPr>
          <w:rFonts w:ascii="Times New Roman" w:hAnsi="Times New Roman" w:cs="Times New Roman" w:eastAsia="Times New Roman"/>
          <w:b/>
          <w:i w:val="0"/>
          <w:sz w:val="22"/>
        </w:rPr>
        <w:t>Informação Confidencial</w:t>
      </w:r>
      <w:r>
        <w:rPr>
          <w:rFonts w:ascii="Times New Roman" w:hAnsi="Times New Roman" w:cs="Times New Roman" w:eastAsia="Times New Roman"/>
          <w:b w:val="0"/>
          <w:i w:val="0"/>
          <w:sz w:val="22"/>
        </w:rPr>
        <w:t xml:space="preserve"> a informação que uma parte revela à outra no âmbito das presentes Condições e que esteja identificada como confidencial ou o seja manifestamente pela sua natureza, incluindo o Conteúdo do Cliente, a arquitetura técnica do Software, os resultados de testes e avaliações comparativas, as condições comerciais e descontos negociados e a informação sobre Locais e processos produtivos.</w:t>
      </w:r>
    </w:p>
    <w:p>
      <w:r>
        <w:rPr>
          <w:rFonts w:ascii="Times New Roman" w:hAnsi="Times New Roman" w:cs="Times New Roman" w:eastAsia="Times New Roman"/>
          <w:b w:val="0"/>
          <w:i w:val="0"/>
          <w:sz w:val="22"/>
        </w:rPr>
        <w:t>C.7.2. A parte recetora não revelará Informação Confidencial a terceiros sem consentimento escrito, utilizá-la-á apenas para executar o contrato e protegê-la-á com diligência não inferior à aplicada à sua própria informação confidencial e, em todo o caso, com diligência razoável.</w:t>
      </w:r>
    </w:p>
    <w:p>
      <w:r>
        <w:rPr>
          <w:rFonts w:ascii="Times New Roman" w:hAnsi="Times New Roman" w:cs="Times New Roman" w:eastAsia="Times New Roman"/>
          <w:b w:val="0"/>
          <w:i w:val="0"/>
          <w:sz w:val="22"/>
        </w:rPr>
        <w:t>C.7.3. É permitida a revelação a trabalhadores, consultores e prestadores sujeitos a obrigações de confidencialidade equivalentes, segundo o princípio da necessidade de conhecer; bem como quando exigida por lei ou por autoridade competente, desde que a parte reveladora seja previamente informada, salvo proibição legal.</w:t>
      </w:r>
    </w:p>
    <w:p>
      <w:r>
        <w:rPr>
          <w:rFonts w:ascii="Times New Roman" w:hAnsi="Times New Roman" w:cs="Times New Roman" w:eastAsia="Times New Roman"/>
          <w:b w:val="0"/>
          <w:i w:val="0"/>
          <w:sz w:val="22"/>
        </w:rPr>
        <w:t>C.7.4. As obrigações de confidencialidade subsistem por cinco (5) anos após a cessação do contrato e, quanto a segredos comerciais, indefinidamente enquanto conservarem essa natureza.</w:t>
      </w:r>
    </w:p>
    <w:p>
      <w:r>
        <w:rPr>
          <w:rFonts w:ascii="Times New Roman" w:hAnsi="Times New Roman" w:cs="Times New Roman" w:eastAsia="Times New Roman"/>
          <w:b w:val="0"/>
          <w:i w:val="0"/>
          <w:sz w:val="22"/>
        </w:rPr>
        <w:t xml:space="preserve">C.7.5. O Licenciante pode mencionar o nome e o logótipo da Contraparte em listas de clientes ou parceiros </w:t>
      </w:r>
      <w:r>
        <w:rPr>
          <w:rFonts w:ascii="Times New Roman" w:hAnsi="Times New Roman" w:cs="Times New Roman" w:eastAsia="Times New Roman"/>
          <w:b/>
          <w:i w:val="0"/>
          <w:sz w:val="22"/>
        </w:rPr>
        <w:t>apenas com o seu consentimento prévio e escrito</w:t>
      </w:r>
      <w:r>
        <w:rPr>
          <w:rFonts w:ascii="Times New Roman" w:hAnsi="Times New Roman" w:cs="Times New Roman" w:eastAsia="Times New Roman"/>
          <w:b w:val="0"/>
          <w:i w:val="0"/>
          <w:sz w:val="22"/>
        </w:rPr>
        <w:t>, revogável a qualquer momento.</w:t>
      </w:r>
    </w:p>
    <w:p>
      <w:pPr>
        <w:pStyle w:val="Heading2"/>
        <w:keepNext/>
      </w:pPr>
      <w:r>
        <w:rPr>
          <w:rFonts w:ascii="Times New Roman" w:hAnsi="Times New Roman" w:cs="Times New Roman" w:eastAsia="Times New Roman"/>
          <w:b/>
          <w:i w:val="0"/>
          <w:sz w:val="23"/>
        </w:rPr>
        <w:t>C.8. Declarações e limitações expressamente divulgadas</w:t>
      </w:r>
    </w:p>
    <w:p>
      <w:r>
        <w:rPr>
          <w:rFonts w:ascii="Times New Roman" w:hAnsi="Times New Roman" w:cs="Times New Roman" w:eastAsia="Times New Roman"/>
          <w:b w:val="0"/>
          <w:i w:val="0"/>
          <w:sz w:val="22"/>
        </w:rPr>
        <w:t>C.8.1. O Licenciante declara que é titular dos direitos concedidos ao abrigo das presentes Condições ou está habilitado a concedê-los, que a sua concessão não viola direitos de terceiros e que o Software não contém funcionalidades não divulgadas destinadas a destruir, bloquear, modificar ou copiar dados da Contraparte sem autorização.</w:t>
      </w:r>
    </w:p>
    <w:p>
      <w:r>
        <w:rPr>
          <w:rFonts w:ascii="Times New Roman" w:hAnsi="Times New Roman" w:cs="Times New Roman" w:eastAsia="Times New Roman"/>
          <w:b w:val="0"/>
          <w:i w:val="0"/>
          <w:sz w:val="22"/>
        </w:rPr>
        <w:t>C.8.2. A Contraparte declara que está devidamente constituída e em atividade, que a pessoa que aceitou tinha poderes bastantes, que não está sujeita a processo de insolvência e que a informação do seu Formulário de Pedido é exata.</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Certificações não detidas.</w:t>
      </w:r>
      <w:r>
        <w:rPr>
          <w:rFonts w:ascii="Times New Roman" w:hAnsi="Times New Roman" w:cs="Times New Roman" w:eastAsia="Times New Roman"/>
          <w:b w:val="0"/>
          <w:i w:val="0"/>
          <w:sz w:val="22"/>
        </w:rPr>
        <w:t xml:space="preserve"> O Licenciante declara expressamente que, à data da presente versão, o Software </w:t>
      </w:r>
      <w:r>
        <w:rPr>
          <w:rFonts w:ascii="Times New Roman" w:hAnsi="Times New Roman" w:cs="Times New Roman" w:eastAsia="Times New Roman"/>
          <w:b/>
          <w:i w:val="0"/>
          <w:sz w:val="22"/>
        </w:rPr>
        <w:t>não dispõe</w:t>
      </w:r>
      <w:r>
        <w:rPr>
          <w:rFonts w:ascii="Times New Roman" w:hAnsi="Times New Roman" w:cs="Times New Roman" w:eastAsia="Times New Roman"/>
          <w:b w:val="0"/>
          <w:i w:val="0"/>
          <w:sz w:val="22"/>
        </w:rPr>
        <w:t xml:space="preserve"> das seguintes nem o Licenciante as </w:t>
      </w:r>
      <w:r>
        <w:rPr>
          <w:rFonts w:ascii="Times New Roman" w:hAnsi="Times New Roman" w:cs="Times New Roman" w:eastAsia="Times New Roman"/>
          <w:b/>
          <w:i w:val="0"/>
          <w:sz w:val="22"/>
        </w:rPr>
        <w:t>invoca</w:t>
      </w:r>
      <w:r>
        <w:rPr>
          <w:rFonts w:ascii="Times New Roman" w:hAnsi="Times New Roman" w:cs="Times New Roman" w:eastAsia="Times New Roman"/>
          <w:b w:val="0"/>
          <w:i w:val="0"/>
          <w:sz w:val="22"/>
        </w:rPr>
        <w:t>: relatório SOC 2 (Type I ou Type II); certificação ISO/IEC 27001; pacote de validação nos termos da 21 CFR Part 11 ou GAMP 5; relatório publicado de testes de intrusão realizados por terceiro. A Contraparte confirma que tem conhecimento desta circunstância e que não confiou na existência de tais certificações ao celebrar o contrato. A validação dos processos em que o Software é utilizado continua a competir à Contraparte; o Software regista a atividade de utilizadores e do sistema e acompanha a execução de procedimentos, o que apoia esse trabalho mas não o substitui.</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Destino do Software.</w:t>
      </w:r>
      <w:r>
        <w:rPr>
          <w:rFonts w:ascii="Times New Roman" w:hAnsi="Times New Roman" w:cs="Times New Roman" w:eastAsia="Times New Roman"/>
          <w:b w:val="0"/>
          <w:i w:val="0"/>
          <w:sz w:val="22"/>
        </w:rPr>
        <w:t xml:space="preserve"> O ARSY AI é uma ferramenta de orientação e formação. </w:t>
      </w:r>
      <w:r>
        <w:rPr>
          <w:rFonts w:ascii="Times New Roman" w:hAnsi="Times New Roman" w:cs="Times New Roman" w:eastAsia="Times New Roman"/>
          <w:b/>
          <w:i w:val="0"/>
          <w:sz w:val="22"/>
        </w:rPr>
        <w:t>Não é um sistema instrumentado de segurança, nem um sistema de controlo de processos, nem um sistema de paragem de emergência, nem um dispositivo médico, e não deve ser utilizado como base única de decisão em situações em que uma falha possa causar morte, lesões pessoais, danos ambientais ou danos materiais.</w:t>
      </w:r>
      <w:r>
        <w:rPr>
          <w:rFonts w:ascii="Times New Roman" w:hAnsi="Times New Roman" w:cs="Times New Roman" w:eastAsia="Times New Roman"/>
          <w:b w:val="0"/>
          <w:i w:val="0"/>
          <w:sz w:val="22"/>
        </w:rPr>
        <w:t xml:space="preserve"> A utilização do Software não desonera a Contraparte das suas próprias obrigações em matéria de segurança e saúde no trabalho, segurança industrial, supervisão qualificada e cumprimento regulamentar.</w:t>
      </w:r>
    </w:p>
    <w:p>
      <w:pPr>
        <w:pStyle w:val="Heading2"/>
        <w:keepNext/>
      </w:pPr>
      <w:r>
        <w:rPr>
          <w:rFonts w:ascii="Times New Roman" w:hAnsi="Times New Roman" w:cs="Times New Roman" w:eastAsia="Times New Roman"/>
          <w:b/>
          <w:i w:val="0"/>
          <w:sz w:val="23"/>
        </w:rPr>
        <w:t>C.9. Garantias e exclusão</w:t>
      </w:r>
    </w:p>
    <w:p>
      <w:r>
        <w:rPr>
          <w:rFonts w:ascii="Times New Roman" w:hAnsi="Times New Roman" w:cs="Times New Roman" w:eastAsia="Times New Roman"/>
          <w:b w:val="0"/>
          <w:i w:val="0"/>
          <w:sz w:val="22"/>
        </w:rPr>
        <w:t>C.9.1. O Licenciante garante que o Software funcionará substancialmente de acordo com a documentação oficial, desde que a Contraparte cumpra os requisitos de infraestrutura do Anexo 5 e as instruções de operação.</w:t>
      </w:r>
    </w:p>
    <w:p>
      <w:r>
        <w:rPr>
          <w:rFonts w:ascii="Times New Roman" w:hAnsi="Times New Roman" w:cs="Times New Roman" w:eastAsia="Times New Roman"/>
          <w:b w:val="0"/>
          <w:i w:val="0"/>
          <w:sz w:val="22"/>
        </w:rPr>
        <w:t xml:space="preserve">C.9.2. </w:t>
      </w:r>
      <w:r>
        <w:rPr>
          <w:rFonts w:ascii="Times New Roman" w:hAnsi="Times New Roman" w:cs="Times New Roman" w:eastAsia="Times New Roman"/>
          <w:b/>
          <w:i w:val="0"/>
          <w:sz w:val="22"/>
        </w:rPr>
        <w:t>Salvo o expressamente estabelecido nas presentes Condições, o Software é fornecido «tal como está» e o Licenciante exclui quaisquer outras garantias, expressas, implícitas ou legais, incluindo as garantias implícitas de comerciabilidade, qualidade satisfatória, adequação a fim específico e não violação, na máxima medida permitida por lei.</w:t>
      </w:r>
      <w:r>
        <w:rPr>
          <w:rFonts w:ascii="Times New Roman" w:hAnsi="Times New Roman" w:cs="Times New Roman" w:eastAsia="Times New Roman"/>
          <w:b w:val="0"/>
          <w:i w:val="0"/>
          <w:sz w:val="22"/>
        </w:rPr>
        <w:t xml:space="preserve"> O Licenciante não garante funcionamento ininterrupto ou isento de erros, nem que o Software satisfaça as expectativas subjetivas da Contraparte, nem a obtenção de determinado resultado comercial ou operacional, nem o correto funcionamento em equipamento que não cumpra o Anexo 5 ou quando a Instância tenha sido reconfigurada sem acordo do Licenciante.</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Os resultados do agente de IA têm carácter indicativo e devem ser verificados pela Contraparte.</w:t>
      </w:r>
      <w:r>
        <w:rPr>
          <w:rFonts w:ascii="Times New Roman" w:hAnsi="Times New Roman" w:cs="Times New Roman" w:eastAsia="Times New Roman"/>
          <w:b w:val="0"/>
          <w:i w:val="0"/>
          <w:sz w:val="22"/>
        </w:rPr>
        <w:t xml:space="preserve"> O Licenciante não garante a integralidade, exatidão ou adequação das respostas geradas por modelos de aprendizagem automática, incluindo as derivadas de documentação carregada pela Contraparte. As decisões tomadas com base em tais resultados são da responsabilidade da Contraparte.</w:t>
      </w:r>
    </w:p>
    <w:p>
      <w:r>
        <w:rPr>
          <w:rFonts w:ascii="Times New Roman" w:hAnsi="Times New Roman" w:cs="Times New Roman" w:eastAsia="Times New Roman"/>
          <w:b w:val="0"/>
          <w:i w:val="0"/>
          <w:sz w:val="22"/>
        </w:rPr>
        <w:t>C.9.4. As estimativas e calculadoras, incluindo os valores de retorno do investimento publicados em arsy.ai, são ilustrativos, baseiam-se em dados médios e não constituem garantia de resultado.</w:t>
      </w:r>
    </w:p>
    <w:p>
      <w:pPr>
        <w:pStyle w:val="Heading2"/>
        <w:keepNext/>
      </w:pPr>
      <w:r>
        <w:rPr>
          <w:rFonts w:ascii="Times New Roman" w:hAnsi="Times New Roman" w:cs="Times New Roman" w:eastAsia="Times New Roman"/>
          <w:b/>
          <w:i w:val="0"/>
          <w:sz w:val="23"/>
        </w:rPr>
        <w:t>C.10. Responsabilidade</w:t>
      </w:r>
    </w:p>
    <w:p>
      <w:r>
        <w:rPr>
          <w:rFonts w:ascii="Times New Roman" w:hAnsi="Times New Roman" w:cs="Times New Roman" w:eastAsia="Times New Roman"/>
          <w:b w:val="0"/>
          <w:i w:val="0"/>
          <w:sz w:val="22"/>
        </w:rPr>
        <w:t xml:space="preserve">C.10.1. </w:t>
      </w:r>
      <w:r>
        <w:rPr>
          <w:rFonts w:ascii="Times New Roman" w:hAnsi="Times New Roman" w:cs="Times New Roman" w:eastAsia="Times New Roman"/>
          <w:b/>
          <w:i w:val="0"/>
          <w:sz w:val="22"/>
        </w:rPr>
        <w:t>Limite de responsabilidade.</w:t>
      </w:r>
      <w:r>
        <w:rPr>
          <w:rFonts w:ascii="Times New Roman" w:hAnsi="Times New Roman" w:cs="Times New Roman" w:eastAsia="Times New Roman"/>
          <w:b w:val="0"/>
          <w:i w:val="0"/>
          <w:sz w:val="22"/>
        </w:rPr>
        <w:t xml:space="preserve"> A responsabilidade total agregada do Licenciante decorrente do contrato ou com ele relacionada, seja contratual, extracontratual (incluindo negligência), por violação de deveres legais ou de outro modo, relativamente a todos os eventos ocorridos em qualquer período de doze (12) meses consecutivos, é limitada à </w:t>
      </w:r>
      <w:r>
        <w:rPr>
          <w:rFonts w:ascii="Times New Roman" w:hAnsi="Times New Roman" w:cs="Times New Roman" w:eastAsia="Times New Roman"/>
          <w:b/>
          <w:i w:val="0"/>
          <w:sz w:val="22"/>
        </w:rPr>
        <w:t>remuneração efetivamente paga pela Contraparte ao Licenciante ao abrigo do contrato nos doze (12) meses anteriores ao evento gerador da responsabilidade.</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Danos excluídos.</w:t>
      </w:r>
      <w:r>
        <w:rPr>
          <w:rFonts w:ascii="Times New Roman" w:hAnsi="Times New Roman" w:cs="Times New Roman" w:eastAsia="Times New Roman"/>
          <w:b w:val="0"/>
          <w:i w:val="0"/>
          <w:sz w:val="22"/>
        </w:rPr>
        <w:t xml:space="preserve"> O Licenciante não responde por lucros cessantes, perda de receitas, danos reputacionais, danos decorrentes de paragem de produção, nem pela perda ou corrupção de dados (salvo quando causada pela violação, pelo Licenciante, de obrigação de cópia de segurança expressamente assumida no Anexo 3), nem por danos indiretos ou consequenciais, independentemente de ter sido advertido da sua possibilidade.</w:t>
      </w:r>
    </w:p>
    <w:p>
      <w:r>
        <w:rPr>
          <w:rFonts w:ascii="Times New Roman" w:hAnsi="Times New Roman" w:cs="Times New Roman" w:eastAsia="Times New Roman"/>
          <w:b w:val="0"/>
          <w:i w:val="0"/>
          <w:sz w:val="22"/>
        </w:rPr>
        <w:t xml:space="preserve">C.10.3. As cláusulas C.10.1 e C.10.2 </w:t>
      </w:r>
      <w:r>
        <w:rPr>
          <w:rFonts w:ascii="Times New Roman" w:hAnsi="Times New Roman" w:cs="Times New Roman" w:eastAsia="Times New Roman"/>
          <w:b/>
          <w:i w:val="0"/>
          <w:sz w:val="22"/>
        </w:rPr>
        <w:t>não</w:t>
      </w:r>
      <w:r>
        <w:rPr>
          <w:rFonts w:ascii="Times New Roman" w:hAnsi="Times New Roman" w:cs="Times New Roman" w:eastAsia="Times New Roman"/>
          <w:b w:val="0"/>
          <w:i w:val="0"/>
          <w:sz w:val="22"/>
        </w:rPr>
        <w:t xml:space="preserve"> limitam a responsabilidade por: morte ou lesões pessoais causadas por negligência; dolo ou declarações dolosas; violação das obrigações de confidencialidade; violação dos direitos de propriedade intelectual da outra parte; conduta dolosa; a obrigação de pagamento da Contraparte; nem qualquer responsabilidade que legalmente não possa ser limitada.</w:t>
      </w:r>
    </w:p>
    <w:p>
      <w:r>
        <w:rPr>
          <w:rFonts w:ascii="Times New Roman" w:hAnsi="Times New Roman" w:cs="Times New Roman" w:eastAsia="Times New Roman"/>
          <w:b w:val="0"/>
          <w:i w:val="0"/>
          <w:sz w:val="22"/>
        </w:rPr>
        <w:t xml:space="preserve">C.10.4. </w:t>
      </w:r>
      <w:r>
        <w:rPr>
          <w:rFonts w:ascii="Times New Roman" w:hAnsi="Times New Roman" w:cs="Times New Roman" w:eastAsia="Times New Roman"/>
          <w:b/>
          <w:i w:val="0"/>
          <w:sz w:val="22"/>
        </w:rPr>
        <w:t>Garantia contra violação de propriedade intelectual.</w:t>
      </w:r>
      <w:r>
        <w:rPr>
          <w:rFonts w:ascii="Times New Roman" w:hAnsi="Times New Roman" w:cs="Times New Roman" w:eastAsia="Times New Roman"/>
          <w:b w:val="0"/>
          <w:i w:val="0"/>
          <w:sz w:val="22"/>
        </w:rPr>
        <w:t xml:space="preserve"> O Licenciante defenderá a Contraparte contra reclamações de terceiros que sustentem que a utilização do Software nos termos do contrato viola os seus direitos de propriedade intelectual, e pagará as indemnizações definitivamente fixadas e os custos legais razoáveis, desde que a Contraparte (a) o informe sem demora e em qualquer caso no prazo de dez (10) dias úteis, (b) lhe atribua o controlo exclusivo da defesa e da transação e (c) preste assistência razoável a expensas do Licenciante. Esta garantia não se aplica a reclamações decorrentes da utilização do Software em violação do contrato, da sua modificação por pessoa distinta do Licenciante, do Conteúdo do Cliente ou da sua combinação com produtos de terceiros não aprovados pelo Licenciante. Se o Software vier a ser objeto de tal reclamação, ou tal se afigurar provável no entender do Licenciante, este pode, à sua escolha, obter o direito de prosseguir a utilização, substituir ou modificar o Software, ou resolver o contrato reembolsando a remuneração correspondente à parte não utilizada do Período de Faturação pago. </w:t>
      </w:r>
      <w:r>
        <w:rPr>
          <w:rFonts w:ascii="Times New Roman" w:hAnsi="Times New Roman" w:cs="Times New Roman" w:eastAsia="Times New Roman"/>
          <w:b/>
          <w:i w:val="0"/>
          <w:sz w:val="22"/>
        </w:rPr>
        <w:t>Esta cláusula esgota a responsabilidade do Licenciante e o meio de reação da Contraparte por violação de propriedade intelectual.</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Garantia prestada pela Contraparte.</w:t>
      </w:r>
      <w:r>
        <w:rPr>
          <w:rFonts w:ascii="Times New Roman" w:hAnsi="Times New Roman" w:cs="Times New Roman" w:eastAsia="Times New Roman"/>
          <w:b w:val="0"/>
          <w:i w:val="0"/>
          <w:sz w:val="22"/>
        </w:rPr>
        <w:t xml:space="preserve"> A Contraparte manterá o Licenciante indemne de reclamações de terceiros (incluindo titulares de dados e titulares de direitos) decorrentes do Conteúdo do Cliente ou da violação das cláusulas C.3.4 ou C.6.1.</w:t>
      </w:r>
    </w:p>
    <w:p>
      <w:r>
        <w:rPr>
          <w:rFonts w:ascii="Times New Roman" w:hAnsi="Times New Roman" w:cs="Times New Roman" w:eastAsia="Times New Roman"/>
          <w:b w:val="0"/>
          <w:i w:val="0"/>
          <w:sz w:val="22"/>
        </w:rPr>
        <w:t xml:space="preserve">C.10.6. </w:t>
      </w:r>
      <w:r>
        <w:rPr>
          <w:rFonts w:ascii="Times New Roman" w:hAnsi="Times New Roman" w:cs="Times New Roman" w:eastAsia="Times New Roman"/>
          <w:b/>
          <w:i w:val="0"/>
          <w:sz w:val="22"/>
        </w:rPr>
        <w:t>Força maior.</w:t>
      </w:r>
      <w:r>
        <w:rPr>
          <w:rFonts w:ascii="Times New Roman" w:hAnsi="Times New Roman" w:cs="Times New Roman" w:eastAsia="Times New Roman"/>
          <w:b w:val="0"/>
          <w:i w:val="0"/>
          <w:sz w:val="22"/>
        </w:rPr>
        <w:t xml:space="preserve"> Nenhuma parte responde pelo incumprimento (salvo de obrigações de pagamento) causado por factos alheios ao seu controlo razoável, incluindo catástrofes naturais, guerra, distúrbios civis, epidemias, atos de autoridade pública que proíbam o cumprimento, falhas em larga escala da infraestrutura de base da internet e ciberataques em larga escala sobre infraestrutura alheia ao controlo dessa parte. A parte afetada comunicá-lo-á à outra no prazo de dez (10) dias úteis. Se o facto se prolongar por mais de três (3) meses, qualquer das partes pode resolver, com acerto de contas do período efetivamente prestado.</w:t>
      </w:r>
    </w:p>
    <w:p>
      <w:pPr>
        <w:pStyle w:val="Heading2"/>
        <w:keepNext/>
      </w:pPr>
      <w:r>
        <w:rPr>
          <w:rFonts w:ascii="Times New Roman" w:hAnsi="Times New Roman" w:cs="Times New Roman" w:eastAsia="Times New Roman"/>
          <w:b/>
          <w:i w:val="0"/>
          <w:sz w:val="23"/>
        </w:rPr>
        <w:t>C.11. Consequências do termo da Subscrição</w:t>
      </w:r>
    </w:p>
    <w:p>
      <w:r>
        <w:rPr>
          <w:rFonts w:ascii="Times New Roman" w:hAnsi="Times New Roman" w:cs="Times New Roman" w:eastAsia="Times New Roman"/>
          <w:b w:val="0"/>
          <w:i w:val="0"/>
          <w:sz w:val="22"/>
        </w:rPr>
        <w:t>C.11.1. A titularidade do Conteúdo do Cliente não depende de Subscrição em vigor e não se extingue em momento algum.</w:t>
      </w:r>
    </w:p>
    <w:p>
      <w:r>
        <w:rPr>
          <w:rFonts w:ascii="Times New Roman" w:hAnsi="Times New Roman" w:cs="Times New Roman" w:eastAsia="Times New Roman"/>
          <w:b w:val="0"/>
          <w:i w:val="0"/>
          <w:sz w:val="22"/>
        </w:rPr>
        <w:t xml:space="preserve">C.11.2. Com o termo do Prazo da Licença — inclusive por falta de pagamento — cessa o </w:t>
      </w:r>
      <w:r>
        <w:rPr>
          <w:rFonts w:ascii="Times New Roman" w:hAnsi="Times New Roman" w:cs="Times New Roman" w:eastAsia="Times New Roman"/>
          <w:b/>
          <w:i w:val="0"/>
          <w:sz w:val="22"/>
        </w:rPr>
        <w:t>acesso</w:t>
      </w:r>
      <w:r>
        <w:rPr>
          <w:rFonts w:ascii="Times New Roman" w:hAnsi="Times New Roman" w:cs="Times New Roman" w:eastAsia="Times New Roman"/>
          <w:b w:val="0"/>
          <w:i w:val="0"/>
          <w:sz w:val="22"/>
        </w:rPr>
        <w:t xml:space="preserve"> ao Software e às funcionalidades que operam sobre o Conteúdo do Cliente. O Conteúdo do Cliente não é eliminado nesse momento.</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Durante noventa (90) dias após o termo do Prazo da Licença</w:t>
      </w:r>
      <w:r>
        <w:rPr>
          <w:rFonts w:ascii="Times New Roman" w:hAnsi="Times New Roman" w:cs="Times New Roman" w:eastAsia="Times New Roman"/>
          <w:b w:val="0"/>
          <w:i w:val="0"/>
          <w:sz w:val="22"/>
        </w:rPr>
        <w:t>, a Contraparte pode obter uma exportação do Conteúdo do Cliente em formatos-padrão legíveis por máquina. O procedimento e os formatos constam do Anexo 3. A exportação é disponibilizada quando não existam montantes vencidos.</w:t>
      </w:r>
    </w:p>
    <w:p>
      <w:r>
        <w:rPr>
          <w:rFonts w:ascii="Times New Roman" w:hAnsi="Times New Roman" w:cs="Times New Roman" w:eastAsia="Times New Roman"/>
          <w:b w:val="0"/>
          <w:i w:val="0"/>
          <w:sz w:val="22"/>
        </w:rPr>
        <w:t>C.11.4. Decorrido esse prazo, o Licenciante pode eliminar o Conteúdo do Cliente da sua infraestrutura e confirmará a eliminação mediante pedido escrito. Prevalecem as obrigações legais de conservação quando aplicáveis.</w:t>
      </w:r>
    </w:p>
    <w:p>
      <w:r>
        <w:rPr>
          <w:rFonts w:ascii="Times New Roman" w:hAnsi="Times New Roman" w:cs="Times New Roman" w:eastAsia="Times New Roman"/>
          <w:b w:val="0"/>
          <w:i w:val="0"/>
          <w:sz w:val="22"/>
        </w:rPr>
        <w:t>C.11.5. No modelo On-Premise, o termo do Prazo da Licença extingue a chave de licença. A Contraparte deve, no prazo de trinta (30) dias, cessar toda a utilização e eliminar todas as cópias do Software, com exceção das cópias de segurança que contenham Conteúdo do Cliente e a partir das quais o Software não possa ser reposto em estado operacional. O Conteúdo do Cliente permanece na infraestrutura da Contraparte e não é recuperado pelo Licenciante.</w:t>
      </w:r>
    </w:p>
    <w:p>
      <w:r>
        <w:rPr>
          <w:rFonts w:ascii="Times New Roman" w:hAnsi="Times New Roman" w:cs="Times New Roman" w:eastAsia="Times New Roman"/>
          <w:b w:val="0"/>
          <w:i w:val="0"/>
          <w:sz w:val="22"/>
        </w:rPr>
        <w:t>C.11.6. O Formulário de Pedido pode prever período de tolerância ou procedimento de reativação.</w:t>
      </w:r>
    </w:p>
    <w:p>
      <w:pPr>
        <w:pStyle w:val="Heading2"/>
        <w:keepNext/>
      </w:pPr>
      <w:r>
        <w:rPr>
          <w:rFonts w:ascii="Times New Roman" w:hAnsi="Times New Roman" w:cs="Times New Roman" w:eastAsia="Times New Roman"/>
          <w:b/>
          <w:i w:val="0"/>
          <w:sz w:val="23"/>
        </w:rPr>
        <w:t>C.12. Vigência, alterações e cessação</w:t>
      </w:r>
    </w:p>
    <w:p>
      <w:r>
        <w:rPr>
          <w:rFonts w:ascii="Times New Roman" w:hAnsi="Times New Roman" w:cs="Times New Roman" w:eastAsia="Times New Roman"/>
          <w:b w:val="0"/>
          <w:i w:val="0"/>
          <w:sz w:val="22"/>
        </w:rPr>
        <w:t>C.12.1. O contrato vigora desde a aceitação até ao termo do Prazo da Licença e, para além dele, quanto às obrigações pendentes.</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Renovação automática.</w:t>
      </w:r>
      <w:r>
        <w:rPr>
          <w:rFonts w:ascii="Times New Roman" w:hAnsi="Times New Roman" w:cs="Times New Roman" w:eastAsia="Times New Roman"/>
          <w:b w:val="0"/>
          <w:i w:val="0"/>
          <w:sz w:val="22"/>
        </w:rPr>
        <w:t xml:space="preserve"> Quando o Formulário de Pedido o preveja, o Prazo da Licença renova-se por períodos sucessivos iguais, salvo se qualquer das partes comunicar a não renovação com, pelo menos, trinta (30) dias de antecedência sobre o termo do período em curso. A renovação opera aos preços em vigor nesse momento, com sujeição à cláusula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Denúncia pela Contraparte.</w:t>
      </w:r>
      <w:r>
        <w:rPr>
          <w:rFonts w:ascii="Times New Roman" w:hAnsi="Times New Roman" w:cs="Times New Roman" w:eastAsia="Times New Roman"/>
          <w:b w:val="0"/>
          <w:i w:val="0"/>
          <w:sz w:val="22"/>
        </w:rPr>
        <w:t xml:space="preserve"> A Contraparte pode resolver o contrato mediante pré-aviso de trinta (30) dias. A remuneração do Período de Faturação pago não é reembolsada, salvo o previsto nas cláusulas A.6.2, C.10.4, C.10.6 e C.12.5.</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Resolução pelo Licenciante.</w:t>
      </w:r>
      <w:r>
        <w:rPr>
          <w:rFonts w:ascii="Times New Roman" w:hAnsi="Times New Roman" w:cs="Times New Roman" w:eastAsia="Times New Roman"/>
          <w:b w:val="0"/>
          <w:i w:val="0"/>
          <w:sz w:val="22"/>
        </w:rPr>
        <w:t xml:space="preserve"> O Licenciante pode resolver com efeito imediato mediante comunicação se: (a) um pagamento estiver em atraso há mais de trinta (30) dias; (b) o Parceiro violar substancialmente as restrições de licença (B.2) e não sanar a violação no prazo de quinze (15) dias úteis a contar da comunicação; (c) o Parceiro for sujeito a processo de insolvência; (d) o Parceiro violar reiteradamente as suas obrigações de informação (B.4); ou (e) o Parceiro perder o estatuto de parceiro certificado e não repuser a conformidade no prazo de noventa (90) dias. Em caso de resolução ao abrigo das alíneas (b) a (e), a remuneração paga não é reembolsada.</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Alteração das presentes Condições.</w:t>
      </w:r>
      <w:r>
        <w:rPr>
          <w:rFonts w:ascii="Times New Roman" w:hAnsi="Times New Roman" w:cs="Times New Roman" w:eastAsia="Times New Roman"/>
          <w:b w:val="0"/>
          <w:i w:val="0"/>
          <w:sz w:val="22"/>
        </w:rPr>
        <w:t xml:space="preserve"> O Licenciante pode alterar as presentes Condições publicando nova versão no endereço indicado no preâmbulo. As alterações produzem efeitos trinta (30) dias após a publicação, salvo se for indicada data posterior. O Período de Faturação já pago continua a reger-se pela versão em vigor no seu início, salvo alterações exigidas por lei. Se a Contraparte não aceitar a nova versão, pode resolver antes de esta produzir efeitos e obter o reembolso da remuneração correspondente à parte não utilizada do Período de Faturação pago. A utilização continuada após a data de produção de efeitos equivale a aceitação.</w:t>
      </w:r>
    </w:p>
    <w:p>
      <w:r>
        <w:rPr>
          <w:rFonts w:ascii="Times New Roman" w:hAnsi="Times New Roman" w:cs="Times New Roman" w:eastAsia="Times New Roman"/>
          <w:b w:val="0"/>
          <w:i w:val="0"/>
          <w:sz w:val="22"/>
        </w:rPr>
        <w:t>C.12.6. O Licenciante arquiva todas as versões das presentes Condições e disponibilizará, mediante pedido, a que vigorava em determinada data.</w:t>
      </w:r>
    </w:p>
    <w:p>
      <w:r>
        <w:rPr>
          <w:rFonts w:ascii="Times New Roman" w:hAnsi="Times New Roman" w:cs="Times New Roman" w:eastAsia="Times New Roman"/>
          <w:b w:val="0"/>
          <w:i w:val="0"/>
          <w:sz w:val="22"/>
        </w:rPr>
        <w:t xml:space="preserve">C.12.7. </w:t>
      </w:r>
      <w:r>
        <w:rPr>
          <w:rFonts w:ascii="Times New Roman" w:hAnsi="Times New Roman" w:cs="Times New Roman" w:eastAsia="Times New Roman"/>
          <w:b/>
          <w:i w:val="0"/>
          <w:sz w:val="22"/>
        </w:rPr>
        <w:t>Subsistência.</w:t>
      </w:r>
      <w:r>
        <w:rPr>
          <w:rFonts w:ascii="Times New Roman" w:hAnsi="Times New Roman" w:cs="Times New Roman" w:eastAsia="Times New Roman"/>
          <w:b w:val="0"/>
          <w:i w:val="0"/>
          <w:sz w:val="22"/>
        </w:rPr>
        <w:t xml:space="preserve"> As cláusulas C.3, C.4, C.5, C.7, C.8.3, C.9.2, C.10, C.11, C.13, C.14, C.15, C.16 e C.17 subsistem após a cessação do contrato.</w:t>
      </w:r>
    </w:p>
    <w:p>
      <w:pPr>
        <w:pStyle w:val="Heading2"/>
        <w:keepNext/>
      </w:pPr>
      <w:r>
        <w:rPr>
          <w:rFonts w:ascii="Times New Roman" w:hAnsi="Times New Roman" w:cs="Times New Roman" w:eastAsia="Times New Roman"/>
          <w:b/>
          <w:i w:val="0"/>
          <w:sz w:val="23"/>
        </w:rPr>
        <w:t>C.13. Cessão</w:t>
      </w:r>
    </w:p>
    <w:p>
      <w:r>
        <w:rPr>
          <w:rFonts w:ascii="Times New Roman" w:hAnsi="Times New Roman" w:cs="Times New Roman" w:eastAsia="Times New Roman"/>
          <w:b w:val="0"/>
          <w:i w:val="0"/>
          <w:sz w:val="22"/>
        </w:rPr>
        <w:t>C.13.1. A Contraparte não pode ceder nem transmitir os seus direitos ou obrigações sem consentimento prévio e escrito do Licenciante, salvo a sucessor por fusão ou aquisição da quase totalidade dos seus ativos, o que será comunicado ao Licenciante no prazo de dez (10) dias úteis.</w:t>
      </w:r>
    </w:p>
    <w:p>
      <w:r>
        <w:rPr>
          <w:rFonts w:ascii="Times New Roman" w:hAnsi="Times New Roman" w:cs="Times New Roman" w:eastAsia="Times New Roman"/>
          <w:b w:val="0"/>
          <w:i w:val="0"/>
          <w:sz w:val="22"/>
        </w:rPr>
        <w:t>C.13.2. O Licenciante pode ceder os seus direitos e obrigações a sociedade do seu grupo ou a sucessor na atividade, mediante comunicação, desde que sejam preservados os direitos da Contraparte.</w:t>
      </w:r>
    </w:p>
    <w:p>
      <w:r>
        <w:rPr>
          <w:rFonts w:ascii="Times New Roman" w:hAnsi="Times New Roman" w:cs="Times New Roman" w:eastAsia="Times New Roman"/>
          <w:b w:val="0"/>
          <w:i w:val="0"/>
          <w:sz w:val="22"/>
        </w:rPr>
        <w:t>C.13.3. O Licenciante pode recorrer a subcontratados para cumprir as suas obrigações e responde pela respetiva atuação.</w:t>
      </w:r>
    </w:p>
    <w:p>
      <w:pPr>
        <w:pStyle w:val="Heading2"/>
        <w:keepNext/>
      </w:pPr>
      <w:r>
        <w:rPr>
          <w:rFonts w:ascii="Times New Roman" w:hAnsi="Times New Roman" w:cs="Times New Roman" w:eastAsia="Times New Roman"/>
          <w:b/>
          <w:i w:val="0"/>
          <w:sz w:val="23"/>
        </w:rPr>
        <w:t>C.14. Conformidade</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Anticorrupção.</w:t>
      </w:r>
      <w:r>
        <w:rPr>
          <w:rFonts w:ascii="Times New Roman" w:hAnsi="Times New Roman" w:cs="Times New Roman" w:eastAsia="Times New Roman"/>
          <w:b w:val="0"/>
          <w:i w:val="0"/>
          <w:sz w:val="22"/>
        </w:rPr>
        <w:t xml:space="preserve"> Cada parte cumprirá toda a legislação aplicável em matéria de combate ao suborno e à corrupção, incluindo o UK Bribery Act 2010 e o Foreign Corrupt Practices Act dos Estados Unidos, e não oferecerá nem aceitará qualquer pagamento indevido relacionado com o contrato.</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Controlo de exportações e sanções.</w:t>
      </w:r>
      <w:r>
        <w:rPr>
          <w:rFonts w:ascii="Times New Roman" w:hAnsi="Times New Roman" w:cs="Times New Roman" w:eastAsia="Times New Roman"/>
          <w:b w:val="0"/>
          <w:i w:val="0"/>
          <w:sz w:val="22"/>
        </w:rPr>
        <w:t xml:space="preserve"> A Contraparte declara que nem ela nem os seus beneficiários efetivos são alvo de sanções económicas ou restrições comerciais aplicáveis, e obriga-se a não utilizar, exportar ou reexportar o Software em violação da legislação de controlo de exportações aplicável, nem a conceder acesso a pessoa restringida ou em território sob embargo. A violação desta cláusula confere ao Licenciante o direito de suspender ou resolver de imediato.</w:t>
      </w:r>
    </w:p>
    <w:p>
      <w:r>
        <w:rPr>
          <w:rFonts w:ascii="Times New Roman" w:hAnsi="Times New Roman" w:cs="Times New Roman" w:eastAsia="Times New Roman"/>
          <w:b w:val="0"/>
          <w:i w:val="0"/>
          <w:sz w:val="22"/>
        </w:rPr>
        <w:t>C.14.3. A Contraparte não utilizará o Software para atividades que exijam autorização ou licença de que não disponha.</w:t>
      </w:r>
    </w:p>
    <w:p>
      <w:pPr>
        <w:pStyle w:val="Heading2"/>
        <w:keepNext/>
      </w:pPr>
      <w:r>
        <w:rPr>
          <w:rFonts w:ascii="Times New Roman" w:hAnsi="Times New Roman" w:cs="Times New Roman" w:eastAsia="Times New Roman"/>
          <w:b/>
          <w:i w:val="0"/>
          <w:sz w:val="23"/>
        </w:rPr>
        <w:t>C.15. Lei aplicável e resolução de litígios</w:t>
      </w:r>
    </w:p>
    <w:p>
      <w:r>
        <w:rPr>
          <w:rFonts w:ascii="Times New Roman" w:hAnsi="Times New Roman" w:cs="Times New Roman" w:eastAsia="Times New Roman"/>
          <w:b w:val="0"/>
          <w:i w:val="0"/>
          <w:sz w:val="22"/>
        </w:rPr>
        <w:t xml:space="preserve">C.15.1. As presentes Condições e todo o litígio delas decorrente ou com elas relacionado, incluindo de natureza extracontratual, regem-se pela lei do </w:t>
      </w:r>
      <w:r>
        <w:rPr>
          <w:rFonts w:ascii="Times New Roman" w:hAnsi="Times New Roman" w:cs="Times New Roman" w:eastAsia="Times New Roman"/>
          <w:b/>
          <w:i w:val="0"/>
          <w:sz w:val="22"/>
        </w:rPr>
        <w:t>Estado de Nova Iorque</w:t>
      </w:r>
      <w:r>
        <w:rPr>
          <w:rFonts w:ascii="Times New Roman" w:hAnsi="Times New Roman" w:cs="Times New Roman" w:eastAsia="Times New Roman"/>
          <w:b w:val="0"/>
          <w:i w:val="0"/>
          <w:sz w:val="22"/>
        </w:rPr>
        <w:t>, com exclusão das suas normas de conflitos e da Convenção das Nações Unidas sobre os Contratos de Compra e Venda Internacional de Mercadorias.</w:t>
      </w:r>
    </w:p>
    <w:p>
      <w:r>
        <w:rPr>
          <w:rFonts w:ascii="Times New Roman" w:hAnsi="Times New Roman" w:cs="Times New Roman" w:eastAsia="Times New Roman"/>
          <w:b w:val="0"/>
          <w:i w:val="0"/>
          <w:sz w:val="22"/>
        </w:rPr>
        <w:t>C.15.2. As partes procurarão primeiro resolver qualquer litígio por negociação de boa-fé entre representantes com poder de decisão, iniciada por comunicação escrita. Não sendo resolvido em trinta (30) dias, aplica-se a cláusula C.15.3.</w:t>
      </w:r>
    </w:p>
    <w:p>
      <w:r>
        <w:rPr>
          <w:rFonts w:ascii="Times New Roman" w:hAnsi="Times New Roman" w:cs="Times New Roman" w:eastAsia="Times New Roman"/>
          <w:b w:val="0"/>
          <w:i w:val="0"/>
          <w:sz w:val="22"/>
        </w:rPr>
        <w:t>C.15.3. Todo o litígio não resolvido nos termos da cláusula C.15.2 será definitivamente decidido segundo o Regulamento de Arbitragem da Câmara de Comércio Internacional por um (1) árbitro designado nos termos desse Regulamento. A sede da arbitragem é Nova Iorque, Nova Iorque, Estados Unidos; a língua da arbitragem é o inglês; a decisão arbitral é definitiva e vinculativa e pode ser executada em qualquer tribunal competente.</w:t>
      </w:r>
    </w:p>
    <w:p>
      <w:r>
        <w:rPr>
          <w:rFonts w:ascii="Times New Roman" w:hAnsi="Times New Roman" w:cs="Times New Roman" w:eastAsia="Times New Roman"/>
          <w:b w:val="0"/>
          <w:i w:val="0"/>
          <w:sz w:val="22"/>
        </w:rPr>
        <w:t>C.15.4. Nada impede qualquer das partes de requerer providências cautelares ou urgentes junto de qualquer tribunal competente para proteger os seus direitos de propriedade intelectual ou a sua Informação Confidencial.</w:t>
      </w:r>
    </w:p>
    <w:p>
      <w:r>
        <w:rPr>
          <w:rFonts w:ascii="Times New Roman" w:hAnsi="Times New Roman" w:cs="Times New Roman" w:eastAsia="Times New Roman"/>
          <w:b w:val="0"/>
          <w:i w:val="0"/>
          <w:sz w:val="22"/>
        </w:rPr>
        <w:t>C.15.5. Quando a Contraparte esteja estabelecida em jurisdição cuja lei imperativa exija solução diversa, essa lei imperativa prevalece na medida mínima exigida.</w:t>
      </w:r>
    </w:p>
    <w:p>
      <w:pPr>
        <w:pStyle w:val="Heading2"/>
        <w:keepNext/>
      </w:pPr>
      <w:r>
        <w:rPr>
          <w:rFonts w:ascii="Times New Roman" w:hAnsi="Times New Roman" w:cs="Times New Roman" w:eastAsia="Times New Roman"/>
          <w:b/>
          <w:i w:val="0"/>
          <w:sz w:val="23"/>
        </w:rPr>
        <w:t>C.16. Comunicações</w:t>
      </w:r>
    </w:p>
    <w:p>
      <w:r>
        <w:rPr>
          <w:rFonts w:ascii="Times New Roman" w:hAnsi="Times New Roman" w:cs="Times New Roman" w:eastAsia="Times New Roman"/>
          <w:b w:val="0"/>
          <w:i w:val="0"/>
          <w:sz w:val="22"/>
        </w:rPr>
        <w:t>C.16.1. As comunicações formais podem ser efetuadas: (a) para os endereços de correio eletrónico indicados no Formulário de Pedido; (b) através do ARSY AI Space; (c) por correio expresso ou carta registada para a sede; ou (d) através de prestador de troca eletrónica de documentos acordado.</w:t>
      </w:r>
    </w:p>
    <w:p>
      <w:r>
        <w:rPr>
          <w:rFonts w:ascii="Times New Roman" w:hAnsi="Times New Roman" w:cs="Times New Roman" w:eastAsia="Times New Roman"/>
          <w:b w:val="0"/>
          <w:i w:val="0"/>
          <w:sz w:val="22"/>
        </w:rPr>
        <w:t>C.16.2. A comunicação enviada por correio eletrónico ou através do ARSY AI Space considera-se recebida no dia útil seguinte. A enviada por correio expresso considera-se recebida com a entrega.</w:t>
      </w:r>
    </w:p>
    <w:p>
      <w:r>
        <w:rPr>
          <w:rFonts w:ascii="Times New Roman" w:hAnsi="Times New Roman" w:cs="Times New Roman" w:eastAsia="Times New Roman"/>
          <w:b w:val="0"/>
          <w:i w:val="0"/>
          <w:sz w:val="22"/>
        </w:rPr>
        <w:t>C.16.3. As comunicações de resolução e as reclamações formais devem ser efetuadas pelos meios (c) ou (d), com cópia por correio eletrónico.</w:t>
      </w:r>
    </w:p>
    <w:p>
      <w:r>
        <w:rPr>
          <w:rFonts w:ascii="Times New Roman" w:hAnsi="Times New Roman" w:cs="Times New Roman" w:eastAsia="Times New Roman"/>
          <w:b w:val="0"/>
          <w:i w:val="0"/>
          <w:sz w:val="22"/>
        </w:rPr>
        <w:t>C.16.4. Cada parte comunicará à outra as alterações dos seus dados no prazo de cinco (5) dias úteis. Até essa comunicação, as enviadas para os dados anteriores consideram-se validamente efetuadas.</w:t>
      </w:r>
    </w:p>
    <w:p>
      <w:r>
        <w:rPr>
          <w:rFonts w:ascii="Times New Roman" w:hAnsi="Times New Roman" w:cs="Times New Roman" w:eastAsia="Times New Roman"/>
          <w:b w:val="0"/>
          <w:i w:val="0"/>
          <w:sz w:val="22"/>
        </w:rPr>
        <w:t xml:space="preserve">C.16.5. Endereço do Licenciante para efeitos de comunicações: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Disposições finais</w:t>
      </w:r>
    </w:p>
    <w:p>
      <w:r>
        <w:rPr>
          <w:rFonts w:ascii="Times New Roman" w:hAnsi="Times New Roman" w:cs="Times New Roman" w:eastAsia="Times New Roman"/>
          <w:b w:val="0"/>
          <w:i w:val="0"/>
          <w:sz w:val="22"/>
        </w:rPr>
        <w:t>C.17.1. As presentes Condições e os Anexos constituem o acordo integral entre as partes quanto ao seu objeto e substituem todas as negociações, correspondência, propostas e entendimentos anteriores, com exceção dos documentos enumerados na cláusula 1.3. Nenhuma parte confiou em declarações não vertidas nas presentes Condições; nada nesta cláusula limita a responsabilidade por dolo.</w:t>
      </w:r>
    </w:p>
    <w:p>
      <w:r>
        <w:rPr>
          <w:rFonts w:ascii="Times New Roman" w:hAnsi="Times New Roman" w:cs="Times New Roman" w:eastAsia="Times New Roman"/>
          <w:b w:val="0"/>
          <w:i w:val="0"/>
          <w:sz w:val="22"/>
        </w:rPr>
        <w:t>C.17.2. Se alguma disposição for declarada inválida ou inexequível, as restantes mantêm-se em vigor e a disposição inválida será substituída pela que mais se aproxime do seu resultado económico.</w:t>
      </w:r>
    </w:p>
    <w:p>
      <w:r>
        <w:rPr>
          <w:rFonts w:ascii="Times New Roman" w:hAnsi="Times New Roman" w:cs="Times New Roman" w:eastAsia="Times New Roman"/>
          <w:b w:val="0"/>
          <w:i w:val="0"/>
          <w:sz w:val="22"/>
        </w:rPr>
        <w:t>C.17.3. A falta de exercício ou o atraso no exercício de um direito não constitui renúncia ao mesmo.</w:t>
      </w:r>
    </w:p>
    <w:p>
      <w:r>
        <w:rPr>
          <w:rFonts w:ascii="Times New Roman" w:hAnsi="Times New Roman" w:cs="Times New Roman" w:eastAsia="Times New Roman"/>
          <w:b w:val="0"/>
          <w:i w:val="0"/>
          <w:sz w:val="22"/>
        </w:rPr>
        <w:t>C.17.4. Quem não seja parte do contrato não pode exigir o cumprimento de qualquer das suas disposições.</w:t>
      </w:r>
    </w:p>
    <w:p>
      <w:r>
        <w:rPr>
          <w:rFonts w:ascii="Times New Roman" w:hAnsi="Times New Roman" w:cs="Times New Roman" w:eastAsia="Times New Roman"/>
          <w:b w:val="0"/>
          <w:i w:val="0"/>
          <w:sz w:val="22"/>
        </w:rPr>
        <w:t>C.17.5. Os títulos são meramente indicativos e não afetam a interpretação.</w:t>
      </w:r>
    </w:p>
    <w:p>
      <w:r>
        <w:rPr>
          <w:rFonts w:ascii="Times New Roman" w:hAnsi="Times New Roman" w:cs="Times New Roman" w:eastAsia="Times New Roman"/>
          <w:b w:val="0"/>
          <w:i w:val="0"/>
          <w:sz w:val="22"/>
        </w:rPr>
        <w:t xml:space="preserve">C.17.6. </w:t>
      </w:r>
      <w:r>
        <w:rPr>
          <w:rFonts w:ascii="Times New Roman" w:hAnsi="Times New Roman" w:cs="Times New Roman" w:eastAsia="Times New Roman"/>
          <w:b/>
          <w:i w:val="0"/>
          <w:sz w:val="22"/>
        </w:rPr>
        <w:t>Língua.</w:t>
      </w:r>
      <w:r>
        <w:rPr>
          <w:rFonts w:ascii="Times New Roman" w:hAnsi="Times New Roman" w:cs="Times New Roman" w:eastAsia="Times New Roman"/>
          <w:b w:val="0"/>
          <w:i w:val="0"/>
          <w:sz w:val="22"/>
        </w:rPr>
        <w:t xml:space="preserve"> As presentes Condições estão redigidas em inglês. As traduções para outras línguas são publicadas apenas a título informativo; em caso de divergência prevalece o texto em inglês, que rege o contrato. Nenhum documento publicado por outra pessoa integra as presentes Condições nem afeta a sua interpretação.</w:t>
      </w:r>
    </w:p>
    <w:p>
      <w:pPr>
        <w:pStyle w:val="Heading1"/>
        <w:keepNext/>
        <w:jc w:val="center"/>
      </w:pPr>
      <w:r>
        <w:rPr>
          <w:rFonts w:ascii="Times New Roman" w:hAnsi="Times New Roman" w:cs="Times New Roman" w:eastAsia="Times New Roman"/>
          <w:b/>
          <w:i w:val="0"/>
          <w:sz w:val="26"/>
        </w:rPr>
        <w:t>ANEXO 1. PLANOS E LIMITES FUNCIONAIS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Parâmetro</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Locais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Dispositivos de RA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Utilizadores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Sessões de vídeo simultâneas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Ilimitadas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Gravação de sessões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dias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Indefinida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Cursos de formação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Exames e certificação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Painel e analítica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Básica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 + à medida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Exportação de relatórios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Analítica de retenção e coortes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Agente de IA (texto)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Agente de IA (voz)</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Pesquisa na base de conhecimento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Gestão da base de conhecimento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Gestão de utilizadores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Básica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Controlo de acessos por perfis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Consola de administração e permissões granulares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API à medida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Modelo de implementação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Nuvem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Nuvem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Nuvem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Nuvem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Integrações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sensores, gestão documental</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Lógica à medida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40 h/ano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Incluída, conforme acordado</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Suporte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Correio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Correio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gestor dedicado</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SLA de disponibilidade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Nenhum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Nenhum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99 %</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99,5 %</w:t>
            </w:r>
          </w:p>
        </w:tc>
      </w:tr>
    </w:tbl>
    <w:p>
      <w:pPr>
        <w:spacing w:after="80"/>
      </w:pPr>
    </w:p>
    <w:p>
      <w:r>
        <w:rPr>
          <w:rFonts w:ascii="Times New Roman" w:hAnsi="Times New Roman" w:cs="Times New Roman" w:eastAsia="Times New Roman"/>
          <w:b/>
          <w:i w:val="0"/>
          <w:sz w:val="22"/>
        </w:rPr>
        <w:t>Notas.</w:t>
      </w:r>
    </w:p>
    <w:p>
      <w:pPr>
        <w:spacing w:after="40"/>
        <w:ind w:left="709" w:hanging="425"/>
      </w:pPr>
      <w:r>
        <w:rPr>
          <w:rFonts w:ascii="Times New Roman" w:hAnsi="Times New Roman" w:cs="Times New Roman" w:eastAsia="Times New Roman"/>
          <w:b w:val="0"/>
          <w:i w:val="0"/>
          <w:sz w:val="22"/>
        </w:rPr>
        <w:t>1. A implementação On-Premise não está disponível nos Planos Lite e Starter.</w:t>
      </w:r>
    </w:p>
    <w:p>
      <w:pPr>
        <w:spacing w:after="40"/>
        <w:ind w:left="709" w:hanging="425"/>
      </w:pPr>
      <w:r>
        <w:rPr>
          <w:rFonts w:ascii="Times New Roman" w:hAnsi="Times New Roman" w:cs="Times New Roman" w:eastAsia="Times New Roman"/>
          <w:b w:val="0"/>
          <w:i w:val="0"/>
          <w:sz w:val="22"/>
        </w:rPr>
        <w:t>2. A gravação de sessões não está incluída de origem no Plano Professional; quando necessária, é ativada como opção acordada em separado.</w:t>
      </w:r>
    </w:p>
    <w:p>
      <w:pPr>
        <w:spacing w:after="40"/>
        <w:ind w:left="709" w:hanging="425"/>
      </w:pPr>
      <w:r>
        <w:rPr>
          <w:rFonts w:ascii="Times New Roman" w:hAnsi="Times New Roman" w:cs="Times New Roman" w:eastAsia="Times New Roman"/>
          <w:b w:val="0"/>
          <w:i w:val="0"/>
          <w:sz w:val="22"/>
        </w:rPr>
        <w:t>3. As horas de lógica à medida do Plano Professional não transitam para o período seguinte, salvo disposição diversa do Formulário de Pedido.</w:t>
      </w:r>
    </w:p>
    <w:p>
      <w:pPr>
        <w:pStyle w:val="Heading1"/>
        <w:keepNext/>
        <w:jc w:val="center"/>
      </w:pPr>
      <w:r>
        <w:rPr>
          <w:rFonts w:ascii="Times New Roman" w:hAnsi="Times New Roman" w:cs="Times New Roman" w:eastAsia="Times New Roman"/>
          <w:b/>
          <w:i w:val="0"/>
          <w:sz w:val="26"/>
        </w:rPr>
        <w:t>ANEXO 2. PREÇOS</w:t>
      </w:r>
    </w:p>
    <w:p>
      <w:pPr>
        <w:pStyle w:val="Heading2"/>
        <w:keepNext/>
      </w:pPr>
      <w:r>
        <w:rPr>
          <w:rFonts w:ascii="Times New Roman" w:hAnsi="Times New Roman" w:cs="Times New Roman" w:eastAsia="Times New Roman"/>
          <w:b/>
          <w:i w:val="0"/>
          <w:sz w:val="23"/>
        </w:rPr>
        <w:t>2.1. Valores base (à data da presente versão)</w:t>
      </w:r>
    </w:p>
    <w:p>
      <w:r>
        <w:rPr>
          <w:rFonts w:ascii="Times New Roman" w:hAnsi="Times New Roman" w:cs="Times New Roman" w:eastAsia="Times New Roman"/>
          <w:b w:val="0"/>
          <w:i w:val="0"/>
          <w:sz w:val="22"/>
        </w:rPr>
        <w:t>Todos os preços são por mês de calendário e não incluem impostos (cláusula C.1.7). A Tabela de Preços em vigor está publicada em https://arsy.ai/pricing.</w:t>
      </w:r>
    </w:p>
    <w:p>
      <w:r>
        <w:rPr>
          <w:rFonts w:ascii="Times New Roman" w:hAnsi="Times New Roman" w:cs="Times New Roman" w:eastAsia="Times New Roman"/>
          <w:b/>
          <w:i w:val="0"/>
          <w:sz w:val="22"/>
        </w:rPr>
        <w:t>Taxa base por Local, por mês: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Plano</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110.000</w:t>
            </w:r>
          </w:p>
        </w:tc>
      </w:tr>
    </w:tbl>
    <w:p>
      <w:pPr>
        <w:spacing w:after="80"/>
      </w:pPr>
    </w:p>
    <w:p>
      <w:r>
        <w:rPr>
          <w:rFonts w:ascii="Times New Roman" w:hAnsi="Times New Roman" w:cs="Times New Roman" w:eastAsia="Times New Roman"/>
          <w:b/>
          <w:i w:val="0"/>
          <w:sz w:val="22"/>
        </w:rPr>
        <w:t>Por Máquina Abrangida, por mês: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Plano</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11.200</w:t>
            </w:r>
          </w:p>
        </w:tc>
      </w:tr>
    </w:tbl>
    <w:p>
      <w:pPr>
        <w:spacing w:after="80"/>
      </w:pPr>
    </w:p>
    <w:p>
      <w:r>
        <w:rPr>
          <w:rFonts w:ascii="Times New Roman" w:hAnsi="Times New Roman" w:cs="Times New Roman" w:eastAsia="Times New Roman"/>
          <w:b/>
          <w:i w:val="0"/>
          <w:sz w:val="22"/>
        </w:rPr>
        <w:t>Desconto por faturação anual:</w:t>
      </w:r>
      <w:r>
        <w:rPr>
          <w:rFonts w:ascii="Times New Roman" w:hAnsi="Times New Roman" w:cs="Times New Roman" w:eastAsia="Times New Roman"/>
          <w:b w:val="0"/>
          <w:i w:val="0"/>
          <w:sz w:val="22"/>
        </w:rPr>
        <w:t xml:space="preserve"> 20 % (total anual = valor mensal × 12 × 0,8).</w:t>
      </w:r>
    </w:p>
    <w:p>
      <w:pPr>
        <w:pStyle w:val="Heading2"/>
        <w:keepNext/>
      </w:pPr>
      <w:r>
        <w:rPr>
          <w:rFonts w:ascii="Times New Roman" w:hAnsi="Times New Roman" w:cs="Times New Roman" w:eastAsia="Times New Roman"/>
          <w:b/>
          <w:i w:val="0"/>
          <w:sz w:val="23"/>
        </w:rPr>
        <w:t>2.2. Montantes On-Premise</w:t>
      </w:r>
    </w:p>
    <w:p>
      <w:r>
        <w:rPr>
          <w:rFonts w:ascii="Times New Roman" w:hAnsi="Times New Roman" w:cs="Times New Roman" w:eastAsia="Times New Roman"/>
          <w:b w:val="0"/>
          <w:i w:val="0"/>
          <w:sz w:val="22"/>
        </w:rPr>
        <w:t>Aplicáveis aos Planos Professional e Enterprise.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Rubrica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Montante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Implementação em servidor local (pagamento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Licença de servidor local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 por mês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Integração com ERP (pagamento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Integração com sensores (pagamento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Integração com gestão documental (pagamento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Suporte de integrações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 por mês</w:t>
            </w:r>
          </w:p>
        </w:tc>
      </w:tr>
    </w:tbl>
    <w:p>
      <w:pPr>
        <w:spacing w:after="80"/>
      </w:pPr>
    </w:p>
    <w:p>
      <w:r>
        <w:rPr>
          <w:rFonts w:ascii="Times New Roman" w:hAnsi="Times New Roman" w:cs="Times New Roman" w:eastAsia="Times New Roman"/>
          <w:b w:val="0"/>
          <w:i w:val="0"/>
          <w:sz w:val="22"/>
        </w:rPr>
        <w:t>Os intervalos de integração são concretizados no Formulário de Pedido após análise dos sistemas do Cliente.</w:t>
      </w:r>
    </w:p>
    <w:p>
      <w:pPr>
        <w:pStyle w:val="Heading2"/>
        <w:keepNext/>
      </w:pPr>
      <w:r>
        <w:rPr>
          <w:rFonts w:ascii="Times New Roman" w:hAnsi="Times New Roman" w:cs="Times New Roman" w:eastAsia="Times New Roman"/>
          <w:b/>
          <w:i w:val="0"/>
          <w:sz w:val="23"/>
        </w:rPr>
        <w:t>2.3. Serviços de Implementação</w:t>
      </w:r>
    </w:p>
    <w:p>
      <w:r>
        <w:rPr>
          <w:rFonts w:ascii="Times New Roman" w:hAnsi="Times New Roman" w:cs="Times New Roman" w:eastAsia="Times New Roman"/>
          <w:b w:val="0"/>
          <w:i w:val="0"/>
          <w:sz w:val="22"/>
        </w:rPr>
        <w:t>A digitalização espacial, a configuração, o desenvolvimento de cenários, a formação do pessoal e demais Serviços de Implementação são orçamentados e prestados pelo Parceiro ao abrigo de acordo autónomo com o Cliente e não estão incluídos na remuneração devida nos termos das presentes Condições.</w:t>
      </w:r>
    </w:p>
    <w:p>
      <w:pPr>
        <w:pStyle w:val="Heading2"/>
        <w:keepNext/>
      </w:pPr>
      <w:r>
        <w:rPr>
          <w:rFonts w:ascii="Times New Roman" w:hAnsi="Times New Roman" w:cs="Times New Roman" w:eastAsia="Times New Roman"/>
          <w:b/>
          <w:i w:val="0"/>
          <w:sz w:val="23"/>
        </w:rPr>
        <w:t>2.4. Condições de parceria (Parte B)</w:t>
      </w:r>
    </w:p>
    <w:p>
      <w:r>
        <w:rPr>
          <w:rFonts w:ascii="Times New Roman" w:hAnsi="Times New Roman" w:cs="Times New Roman" w:eastAsia="Times New Roman"/>
          <w:b w:val="0"/>
          <w:i w:val="0"/>
          <w:sz w:val="22"/>
        </w:rPr>
        <w:t>As condições comerciais de parceria são acordadas individualmente no Formulário de Pedido de cada Parceiro. O presente Anexo apenas fixa o modo como são determinadas.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Parâmetro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Níveis de parceria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Conforme o Formulário de Pedido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Desconto de parceiro sobre a Tabela de Preços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Conforme o Formulário de Pedido; aplica-se à taxa base por Local e à taxa por Máquina Abrangida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Instâncias não destinadas a revenda (NFR)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Conforme o Formulário de Pedido; enquanto subsistir o estatuto de parceiro certificado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Prazo de proteção do registo de oportunidade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Noventa (90) dias a contar do registo, prorrogável uma vez por mais noventa (90) dias mediante prova de atividade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Resolução de conflitos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Prioridade ao Parceiro que registou primeiro, mediante prova de atividade na oportunidade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Condições de pagamento para Parceiros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Pagamento antecipado, salvo se o Formulário de Pedido fixar prazo</w:t>
            </w:r>
          </w:p>
        </w:tc>
      </w:tr>
    </w:tbl>
    <w:p>
      <w:pPr>
        <w:spacing w:after="80"/>
      </w:pPr>
    </w:p>
    <w:p>
      <w:pPr>
        <w:pStyle w:val="Heading1"/>
        <w:keepNext/>
        <w:jc w:val="center"/>
      </w:pPr>
      <w:r>
        <w:rPr>
          <w:rFonts w:ascii="Times New Roman" w:hAnsi="Times New Roman" w:cs="Times New Roman" w:eastAsia="Times New Roman"/>
          <w:b/>
          <w:i w:val="0"/>
          <w:sz w:val="26"/>
        </w:rPr>
        <w:t>ANEXO 3. SUPORTE E NÍVEIS DE SERVIÇO</w:t>
      </w:r>
    </w:p>
    <w:p>
      <w:pPr>
        <w:pStyle w:val="Heading2"/>
        <w:keepNext/>
      </w:pPr>
      <w:r>
        <w:rPr>
          <w:rFonts w:ascii="Times New Roman" w:hAnsi="Times New Roman" w:cs="Times New Roman" w:eastAsia="Times New Roman"/>
          <w:b/>
          <w:i w:val="0"/>
          <w:sz w:val="23"/>
        </w:rPr>
        <w:t>3.1. Canais</w:t>
      </w:r>
    </w:p>
    <w:p>
      <w:pPr>
        <w:spacing w:after="40"/>
        <w:ind w:left="709" w:hanging="283"/>
      </w:pPr>
      <w:r>
        <w:rPr>
          <w:rFonts w:ascii="Times New Roman" w:hAnsi="Times New Roman" w:cs="Times New Roman" w:eastAsia="Times New Roman"/>
          <w:b w:val="0"/>
          <w:i w:val="0"/>
          <w:sz w:val="22"/>
        </w:rPr>
        <w:t xml:space="preserve">— Correio eletrónico: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ARSY AI Space: https://space.arsy.ai</w:t>
      </w:r>
    </w:p>
    <w:p>
      <w:pPr>
        <w:spacing w:after="40"/>
        <w:ind w:left="709" w:hanging="283"/>
      </w:pPr>
      <w:r>
        <w:rPr>
          <w:rFonts w:ascii="Times New Roman" w:hAnsi="Times New Roman" w:cs="Times New Roman" w:eastAsia="Times New Roman"/>
          <w:b w:val="0"/>
          <w:i w:val="0"/>
          <w:sz w:val="22"/>
        </w:rPr>
        <w:t>— Plano Enterprise: gestor dedicado e um canal prioritário acordado.</w:t>
      </w:r>
    </w:p>
    <w:p>
      <w:r>
        <w:rPr>
          <w:rFonts w:ascii="Times New Roman" w:hAnsi="Times New Roman" w:cs="Times New Roman" w:eastAsia="Times New Roman"/>
          <w:b w:val="0"/>
          <w:i w:val="0"/>
          <w:sz w:val="22"/>
        </w:rPr>
        <w:t>Os pedidos dos Clientes são recebidos pelo Parceiro (primeiro nível). Os pedidos dirigidos diretamente ao Licenciante são aceites quando o Formulário de Pedido o preveja ou quando o Parceiro não tenha iniciado o respetivo tratamento dentro do tempo de resposta aplicável.</w:t>
      </w:r>
    </w:p>
    <w:p>
      <w:pPr>
        <w:pStyle w:val="Heading2"/>
        <w:keepNext/>
      </w:pPr>
      <w:r>
        <w:rPr>
          <w:rFonts w:ascii="Times New Roman" w:hAnsi="Times New Roman" w:cs="Times New Roman" w:eastAsia="Times New Roman"/>
          <w:b/>
          <w:i w:val="0"/>
          <w:sz w:val="23"/>
        </w:rPr>
        <w:t>3.2. Horário de suporte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Plano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Horário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Correio, dias úteis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Correio, dias úteis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(segunda a sexta-feira, 09:00–18:00 CET, exceto feriados)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Prioridades e tempos de resposta</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Prioridade</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Descrição</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Resposta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Resposta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Crítica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Instância totalmente indisponível, ou cenários essenciais impossíveis em todos os Locais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 de expediente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hora</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Alta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Perda substancial de funcionalidade, sem solução alternativa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horas de expediente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Média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Afetação parcial, com solução alternativa disponível</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dias úteis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dia útil</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Baixa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Questões, pedidos de alteração, documentação</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dias úteis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dias úteis</w:t>
            </w:r>
          </w:p>
        </w:tc>
      </w:tr>
    </w:tbl>
    <w:p>
      <w:pPr>
        <w:spacing w:after="80"/>
      </w:pPr>
    </w:p>
    <w:p>
      <w:r>
        <w:rPr>
          <w:rFonts w:ascii="Times New Roman" w:hAnsi="Times New Roman" w:cs="Times New Roman" w:eastAsia="Times New Roman"/>
          <w:b w:val="0"/>
          <w:i w:val="0"/>
          <w:sz w:val="22"/>
        </w:rPr>
        <w:t>Para os Planos Lite e Starter o objetivo de resposta é de três (3) dias úteis para todas as prioridades, sem compromisso de tempo de resolução.</w:t>
      </w:r>
    </w:p>
    <w:p>
      <w:r>
        <w:rPr>
          <w:rFonts w:ascii="Times New Roman" w:hAnsi="Times New Roman" w:cs="Times New Roman" w:eastAsia="Times New Roman"/>
          <w:b/>
          <w:i w:val="0"/>
          <w:sz w:val="22"/>
        </w:rPr>
        <w:t>Tempo de resposta</w:t>
      </w:r>
      <w:r>
        <w:rPr>
          <w:rFonts w:ascii="Times New Roman" w:hAnsi="Times New Roman" w:cs="Times New Roman" w:eastAsia="Times New Roman"/>
          <w:b w:val="0"/>
          <w:i w:val="0"/>
          <w:sz w:val="22"/>
        </w:rPr>
        <w:t xml:space="preserve"> é o período que medeia entre o registo do pedido e o respetivo aviso de receção com classificação de prioridade. Não é assumido compromisso de tempo de resolução salvo se o Formulário de Pedido expressamente o previr.</w:t>
      </w:r>
    </w:p>
    <w:p>
      <w:pPr>
        <w:pStyle w:val="Heading2"/>
        <w:keepNext/>
      </w:pPr>
      <w:r>
        <w:rPr>
          <w:rFonts w:ascii="Times New Roman" w:hAnsi="Times New Roman" w:cs="Times New Roman" w:eastAsia="Times New Roman"/>
          <w:b/>
          <w:i w:val="0"/>
          <w:sz w:val="23"/>
        </w:rPr>
        <w:t>3.4. Disponibilidade (apenas Nuvem Gerida)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Plano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Compromisso mensal de disponibilidade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Nenhum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Nenhum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99,5 %</w:t>
            </w:r>
          </w:p>
        </w:tc>
      </w:tr>
    </w:tbl>
    <w:p>
      <w:pPr>
        <w:spacing w:after="80"/>
      </w:pPr>
    </w:p>
    <w:p>
      <w:r>
        <w:rPr>
          <w:rFonts w:ascii="Times New Roman" w:hAnsi="Times New Roman" w:cs="Times New Roman" w:eastAsia="Times New Roman"/>
          <w:b/>
          <w:i w:val="0"/>
          <w:sz w:val="22"/>
        </w:rPr>
        <w:t>Cálculo:</w:t>
      </w:r>
      <w:r>
        <w:rPr>
          <w:rFonts w:ascii="Times New Roman" w:hAnsi="Times New Roman" w:cs="Times New Roman" w:eastAsia="Times New Roman"/>
          <w:b w:val="0"/>
          <w:i w:val="0"/>
          <w:sz w:val="22"/>
        </w:rPr>
        <w:t xml:space="preserve"> Disponibilidade = (Minutos totais do mês − Minutos de indisponibilidade) / Minutos totais do mês × 100 %.</w:t>
      </w:r>
    </w:p>
    <w:p>
      <w:r>
        <w:rPr>
          <w:rFonts w:ascii="Times New Roman" w:hAnsi="Times New Roman" w:cs="Times New Roman" w:eastAsia="Times New Roman"/>
          <w:b/>
          <w:i w:val="0"/>
          <w:sz w:val="22"/>
        </w:rPr>
        <w:t>Não contam como indisponibilidade os períodos decorrentes de:</w:t>
      </w:r>
    </w:p>
    <w:p>
      <w:pPr>
        <w:spacing w:after="40"/>
        <w:ind w:left="709" w:hanging="283"/>
      </w:pPr>
      <w:r>
        <w:rPr>
          <w:rFonts w:ascii="Times New Roman" w:hAnsi="Times New Roman" w:cs="Times New Roman" w:eastAsia="Times New Roman"/>
          <w:b w:val="0"/>
          <w:i w:val="0"/>
          <w:sz w:val="22"/>
        </w:rPr>
        <w:t>— manutenção planeada comunicada com, pelo menos, cinco (5) dias úteis de antecedência (até 8 horas por mês de calendário, habitualmente fora do horário de expediente);</w:t>
      </w:r>
    </w:p>
    <w:p>
      <w:pPr>
        <w:spacing w:after="40"/>
        <w:ind w:left="709" w:hanging="283"/>
      </w:pPr>
      <w:r>
        <w:rPr>
          <w:rFonts w:ascii="Times New Roman" w:hAnsi="Times New Roman" w:cs="Times New Roman" w:eastAsia="Times New Roman"/>
          <w:b w:val="0"/>
          <w:i w:val="0"/>
          <w:sz w:val="22"/>
        </w:rPr>
        <w:t>— manutenção de emergência para corrigir vulnerabilidades críticas de segurança;</w:t>
      </w:r>
    </w:p>
    <w:p>
      <w:pPr>
        <w:spacing w:after="40"/>
        <w:ind w:left="709" w:hanging="283"/>
      </w:pPr>
      <w:r>
        <w:rPr>
          <w:rFonts w:ascii="Times New Roman" w:hAnsi="Times New Roman" w:cs="Times New Roman" w:eastAsia="Times New Roman"/>
          <w:b w:val="0"/>
          <w:i w:val="0"/>
          <w:sz w:val="22"/>
        </w:rPr>
        <w:t>— força maior (cláusula C.10.6);</w:t>
      </w:r>
    </w:p>
    <w:p>
      <w:pPr>
        <w:spacing w:after="40"/>
        <w:ind w:left="709" w:hanging="283"/>
      </w:pPr>
      <w:r>
        <w:rPr>
          <w:rFonts w:ascii="Times New Roman" w:hAnsi="Times New Roman" w:cs="Times New Roman" w:eastAsia="Times New Roman"/>
          <w:b w:val="0"/>
          <w:i w:val="0"/>
          <w:sz w:val="22"/>
        </w:rPr>
        <w:t>— atos ou omissões da Contraparte, incluindo utilização indevida, ultrapassagem dos limites quantitativos e configuração incorreta dos seus equipamentos ou redes;</w:t>
      </w:r>
    </w:p>
    <w:p>
      <w:pPr>
        <w:spacing w:after="40"/>
        <w:ind w:left="709" w:hanging="283"/>
      </w:pPr>
      <w:r>
        <w:rPr>
          <w:rFonts w:ascii="Times New Roman" w:hAnsi="Times New Roman" w:cs="Times New Roman" w:eastAsia="Times New Roman"/>
          <w:b w:val="0"/>
          <w:i w:val="0"/>
          <w:sz w:val="22"/>
        </w:rPr>
        <w:t>— indisponibilidade de conectividade, equipamentos ou infraestrutura alheios ao controlo do Licenciante;</w:t>
      </w:r>
    </w:p>
    <w:p>
      <w:pPr>
        <w:spacing w:after="40"/>
        <w:ind w:left="709" w:hanging="283"/>
      </w:pPr>
      <w:r>
        <w:rPr>
          <w:rFonts w:ascii="Times New Roman" w:hAnsi="Times New Roman" w:cs="Times New Roman" w:eastAsia="Times New Roman"/>
          <w:b w:val="0"/>
          <w:i w:val="0"/>
          <w:sz w:val="22"/>
        </w:rPr>
        <w:t>— suspensão nos termos da cláusula C.1.9.</w:t>
      </w:r>
    </w:p>
    <w:p>
      <w:r>
        <w:rPr>
          <w:rFonts w:ascii="Times New Roman" w:hAnsi="Times New Roman" w:cs="Times New Roman" w:eastAsia="Times New Roman"/>
          <w:b/>
          <w:i w:val="0"/>
          <w:sz w:val="22"/>
        </w:rPr>
        <w:t>As compensações</w:t>
      </w:r>
      <w:r>
        <w:rPr>
          <w:rFonts w:ascii="Times New Roman" w:hAnsi="Times New Roman" w:cs="Times New Roman" w:eastAsia="Times New Roman"/>
          <w:b w:val="0"/>
          <w:i w:val="0"/>
          <w:sz w:val="22"/>
        </w:rPr>
        <w:t>, reclamadas por escrito no prazo de trinta (30) dias a contar do termo do mês afetado, são concedidas como prorrogação do Prazo da Licença: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Disponibilidade efetiva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Prorrogação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Abaixo do compromisso mas ≥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 do mês afetado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 e &lt;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 do mês afetado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 do mês afetado</w:t>
            </w:r>
          </w:p>
        </w:tc>
      </w:tr>
    </w:tbl>
    <w:p>
      <w:pPr>
        <w:spacing w:after="80"/>
      </w:pPr>
    </w:p>
    <w:p>
      <w:r>
        <w:rPr>
          <w:rFonts w:ascii="Times New Roman" w:hAnsi="Times New Roman" w:cs="Times New Roman" w:eastAsia="Times New Roman"/>
          <w:b w:val="0"/>
          <w:i w:val="0"/>
          <w:sz w:val="22"/>
        </w:rPr>
        <w:t>As compensações de um ano de calendário estão limitadas a 10 % da remuneração anual. Constituem o único e exclusivo meio de reação perante a indisponibilidade (cláusula A.5.4).</w:t>
      </w:r>
    </w:p>
    <w:p>
      <w:pPr>
        <w:pStyle w:val="Heading2"/>
        <w:keepNext/>
      </w:pPr>
      <w:r>
        <w:rPr>
          <w:rFonts w:ascii="Times New Roman" w:hAnsi="Times New Roman" w:cs="Times New Roman" w:eastAsia="Times New Roman"/>
          <w:b/>
          <w:i w:val="0"/>
          <w:sz w:val="23"/>
        </w:rPr>
        <w:t>3.5. Cópias de segurança (Nuvem Gerida)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Parâmetro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Frequência das cópias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Diária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Conservação das cópias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dias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Objetivo de ponto de recuperação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horas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Objetivo de tempo de recuperação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horas (Enterprise), 24 horas (Professional)</w:t>
            </w:r>
          </w:p>
        </w:tc>
      </w:tr>
    </w:tbl>
    <w:p>
      <w:pPr>
        <w:spacing w:after="80"/>
      </w:pPr>
    </w:p>
    <w:p>
      <w:r>
        <w:rPr>
          <w:rFonts w:ascii="Times New Roman" w:hAnsi="Times New Roman" w:cs="Times New Roman" w:eastAsia="Times New Roman"/>
          <w:b w:val="0"/>
          <w:i w:val="0"/>
          <w:sz w:val="22"/>
        </w:rPr>
        <w:t>No modelo On-Premise, as cópias de segurança competem à Contraparte.</w:t>
      </w:r>
    </w:p>
    <w:p>
      <w:pPr>
        <w:pStyle w:val="Heading2"/>
        <w:keepNext/>
      </w:pPr>
      <w:r>
        <w:rPr>
          <w:rFonts w:ascii="Times New Roman" w:hAnsi="Times New Roman" w:cs="Times New Roman" w:eastAsia="Times New Roman"/>
          <w:b/>
          <w:i w:val="0"/>
          <w:sz w:val="23"/>
        </w:rPr>
        <w:t>3.6. Exportação do Conteúdo do Cliente (cláusula C.11.3)</w:t>
      </w:r>
    </w:p>
    <w:p>
      <w:r>
        <w:rPr>
          <w:rFonts w:ascii="Times New Roman" w:hAnsi="Times New Roman" w:cs="Times New Roman" w:eastAsia="Times New Roman"/>
          <w:b w:val="0"/>
          <w:i w:val="0"/>
          <w:sz w:val="22"/>
        </w:rPr>
        <w:t>Disponibilizada no prazo de quinze (15) dias úteis a contar do pedido escrito:</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Categoria de dados</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Formato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Procedimentos, cursos de formação, cenários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JSON estruturado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Documentação e média carregados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Formatos originais de carregamento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Mapas espaciais e resultados de digitalização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Nuvens de pontos — PLY; geometria 3D — glTF 2.0; metadados de posicionamento — formato próprio do Licenciante, acompanhado da descrição da sua estrutura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Atividade de utilizadores, conclusão de cursos, relatórios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Gravações de sessões de vídeo (quando incluídas no Plano)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Entregue por canal seguro de descarregamento. Uma exportação dentro do período de 90 dias é gratuita.</w:t>
      </w:r>
    </w:p>
    <w:p>
      <w:pPr>
        <w:pStyle w:val="Heading1"/>
        <w:keepNext/>
        <w:jc w:val="center"/>
      </w:pPr>
      <w:r>
        <w:rPr>
          <w:rFonts w:ascii="Times New Roman" w:hAnsi="Times New Roman" w:cs="Times New Roman" w:eastAsia="Times New Roman"/>
          <w:b/>
          <w:i w:val="0"/>
          <w:sz w:val="26"/>
        </w:rPr>
        <w:t>ANEXO 4. ACORDO DE SUBCONTRATAÇÃO DE TRATAMENTO DE DADOS</w:t>
      </w:r>
    </w:p>
    <w:p>
      <w:r>
        <w:rPr>
          <w:rFonts w:ascii="Times New Roman" w:hAnsi="Times New Roman" w:cs="Times New Roman" w:eastAsia="Times New Roman"/>
          <w:b w:val="0"/>
          <w:i w:val="0"/>
          <w:sz w:val="22"/>
        </w:rPr>
        <w:t xml:space="preserve">O presente Anexo constitui o acordo de subcontratação entre as partes para efeitos do artigo 28.º, n.º 3, do RGPD e das disposições equivalentes do RGPD do Reino Unido. Aplica-se ao Modelo de Implementação de </w:t>
      </w:r>
      <w:r>
        <w:rPr>
          <w:rFonts w:ascii="Times New Roman" w:hAnsi="Times New Roman" w:cs="Times New Roman" w:eastAsia="Times New Roman"/>
          <w:b/>
          <w:i w:val="0"/>
          <w:sz w:val="22"/>
        </w:rPr>
        <w:t>Nuvem Gerida</w:t>
      </w:r>
      <w:r>
        <w:rPr>
          <w:rFonts w:ascii="Times New Roman" w:hAnsi="Times New Roman" w:cs="Times New Roman" w:eastAsia="Times New Roman"/>
          <w:b w:val="0"/>
          <w:i w:val="0"/>
          <w:sz w:val="22"/>
        </w:rPr>
        <w:t>; no modelo On-Premise aplica-se apenas ao acesso de suporte concedido nos termos da cláusula C.3.3.</w:t>
      </w:r>
    </w:p>
    <w:p>
      <w:r>
        <w:rPr>
          <w:rFonts w:ascii="Times New Roman" w:hAnsi="Times New Roman" w:cs="Times New Roman" w:eastAsia="Times New Roman"/>
          <w:b/>
          <w:i w:val="0"/>
          <w:sz w:val="22"/>
        </w:rPr>
        <w:t>4.1. Papéis.</w:t>
      </w:r>
      <w:r>
        <w:rPr>
          <w:rFonts w:ascii="Times New Roman" w:hAnsi="Times New Roman" w:cs="Times New Roman" w:eastAsia="Times New Roman"/>
          <w:b w:val="0"/>
          <w:i w:val="0"/>
          <w:sz w:val="22"/>
        </w:rPr>
        <w:t xml:space="preserve"> A Contraparte é responsável pelo tratamento; o Licenciante é subcontratante.</w:t>
      </w:r>
    </w:p>
    <w:p>
      <w:r>
        <w:rPr>
          <w:rFonts w:ascii="Times New Roman" w:hAnsi="Times New Roman" w:cs="Times New Roman" w:eastAsia="Times New Roman"/>
          <w:b/>
          <w:i w:val="0"/>
          <w:sz w:val="22"/>
        </w:rPr>
        <w:t>4.2. Objeto e finalidade.</w:t>
      </w:r>
      <w:r>
        <w:rPr>
          <w:rFonts w:ascii="Times New Roman" w:hAnsi="Times New Roman" w:cs="Times New Roman" w:eastAsia="Times New Roman"/>
          <w:b w:val="0"/>
          <w:i w:val="0"/>
          <w:sz w:val="22"/>
        </w:rPr>
        <w:t xml:space="preserve"> Operar o Software para o responsável pelo tratamento e prestar suporte técnico.</w:t>
      </w:r>
    </w:p>
    <w:p>
      <w:r>
        <w:rPr>
          <w:rFonts w:ascii="Times New Roman" w:hAnsi="Times New Roman" w:cs="Times New Roman" w:eastAsia="Times New Roman"/>
          <w:b/>
          <w:i w:val="0"/>
          <w:sz w:val="22"/>
        </w:rPr>
        <w:t>4.3. Duração.</w:t>
      </w:r>
      <w:r>
        <w:rPr>
          <w:rFonts w:ascii="Times New Roman" w:hAnsi="Times New Roman" w:cs="Times New Roman" w:eastAsia="Times New Roman"/>
          <w:b w:val="0"/>
          <w:i w:val="0"/>
          <w:sz w:val="22"/>
        </w:rPr>
        <w:t xml:space="preserve"> O Prazo da Licença acrescido de noventa (90) dias (cláusula C.11.3).</w:t>
      </w:r>
    </w:p>
    <w:p>
      <w:r>
        <w:rPr>
          <w:rFonts w:ascii="Times New Roman" w:hAnsi="Times New Roman" w:cs="Times New Roman" w:eastAsia="Times New Roman"/>
          <w:b/>
          <w:i w:val="0"/>
          <w:sz w:val="22"/>
        </w:rPr>
        <w:t>4.4. Natureza do tratamento.</w:t>
      </w:r>
      <w:r>
        <w:rPr>
          <w:rFonts w:ascii="Times New Roman" w:hAnsi="Times New Roman" w:cs="Times New Roman" w:eastAsia="Times New Roman"/>
          <w:b w:val="0"/>
          <w:i w:val="0"/>
          <w:sz w:val="22"/>
        </w:rPr>
        <w:t xml:space="preserve"> Recolha (junto do responsável e dos seus Utilizadores), registo, organização, estruturação, conservação, adaptação, consulta, utilização, limitação, apagamento e destruição, por meios automatizados e não automatizados.</w:t>
      </w:r>
    </w:p>
    <w:p>
      <w:r>
        <w:rPr>
          <w:rFonts w:ascii="Times New Roman" w:hAnsi="Times New Roman" w:cs="Times New Roman" w:eastAsia="Times New Roman"/>
          <w:b/>
          <w:i w:val="0"/>
          <w:sz w:val="22"/>
        </w:rPr>
        <w:t>4.5. Categorias de titulares dos dados.</w:t>
      </w:r>
      <w:r>
        <w:rPr>
          <w:rFonts w:ascii="Times New Roman" w:hAnsi="Times New Roman" w:cs="Times New Roman" w:eastAsia="Times New Roman"/>
          <w:b w:val="0"/>
          <w:i w:val="0"/>
          <w:sz w:val="22"/>
        </w:rPr>
        <w:t xml:space="preserve"> Trabalhadores, formandos e prestadores do responsável pelo tratamento, bem como qualquer pessoa cuja imagem ou voz possa ser captada através do módulo «Perito Remoto» ou das funcionalidades de captura de evidências.</w:t>
      </w:r>
    </w:p>
    <w:p>
      <w:r>
        <w:rPr>
          <w:rFonts w:ascii="Times New Roman" w:hAnsi="Times New Roman" w:cs="Times New Roman" w:eastAsia="Times New Roman"/>
          <w:b/>
          <w:i w:val="0"/>
          <w:sz w:val="22"/>
        </w:rPr>
        <w:t>4.6. Categorias de dados pessoais.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Categoria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Conteúdo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Dados de conta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Nome; correio eletrónico profissional; identificador de utilizador; função e departamento; perfil no sistema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Dados de atividade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Acessos, ações no Software, resultados de cursos e exames, conclusão de procedimentos, resultados de inspeções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Dados técnicos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Endereço IP, identificador de dispositivo, versão do cliente, registos de eventos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Média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Fotografias, vídeo e áudio gerados na utilização, na medida ativada pelo responsável</w:t>
            </w:r>
          </w:p>
        </w:tc>
      </w:tr>
    </w:tbl>
    <w:p>
      <w:pPr>
        <w:spacing w:after="80"/>
      </w:pPr>
    </w:p>
    <w:p>
      <w:r>
        <w:rPr>
          <w:rFonts w:ascii="Times New Roman" w:hAnsi="Times New Roman" w:cs="Times New Roman" w:eastAsia="Times New Roman"/>
          <w:b w:val="0"/>
          <w:i w:val="0"/>
          <w:sz w:val="22"/>
        </w:rPr>
        <w:t>As categorias especiais de dados pessoais e os dados biométricos ficam fora do âmbito do presente Anexo (cláusula C.6.6).</w:t>
      </w:r>
    </w:p>
    <w:p>
      <w:r>
        <w:rPr>
          <w:rFonts w:ascii="Times New Roman" w:hAnsi="Times New Roman" w:cs="Times New Roman" w:eastAsia="Times New Roman"/>
          <w:b/>
          <w:i w:val="0"/>
          <w:sz w:val="22"/>
        </w:rPr>
        <w:t>4.7. Obrigações do subcontratante.</w:t>
      </w:r>
      <w:r>
        <w:rPr>
          <w:rFonts w:ascii="Times New Roman" w:hAnsi="Times New Roman" w:cs="Times New Roman" w:eastAsia="Times New Roman"/>
          <w:b w:val="0"/>
          <w:i w:val="0"/>
          <w:sz w:val="22"/>
        </w:rPr>
        <w:t xml:space="preserve"> O Licenciante: tratará os dados pessoais apenas de acordo com instruções documentadas do responsável, incluindo quanto a transferências internacionais, salvo obrigação legal em contrário (caso em que informará o responsável, salvo proibição); assegurará que as pessoas autorizadas ao tratamento estão sujeitas a dever de confidencialidade; aplicará as medidas técnicas e organizativas da cláusula 4.8; auxiliará o responsável, tendo em conta a natureza do tratamento, nos pedidos dos titulares e nas obrigações dos artigos 32.º a 36.º do RGPD; e, à escolha do responsável, apagará ou devolverá os dados pessoais no termo do tratamento, com sujeição à cláusula C.11.</w:t>
      </w:r>
    </w:p>
    <w:p>
      <w:r>
        <w:rPr>
          <w:rFonts w:ascii="Times New Roman" w:hAnsi="Times New Roman" w:cs="Times New Roman" w:eastAsia="Times New Roman"/>
          <w:b/>
          <w:i w:val="0"/>
          <w:sz w:val="22"/>
        </w:rPr>
        <w:t>4.8. Medidas de segurança.</w:t>
      </w:r>
      <w:r>
        <w:rPr>
          <w:rFonts w:ascii="Times New Roman" w:hAnsi="Times New Roman" w:cs="Times New Roman" w:eastAsia="Times New Roman"/>
          <w:b w:val="0"/>
          <w:i w:val="0"/>
          <w:sz w:val="22"/>
        </w:rPr>
        <w:t xml:space="preserve"> O Licenciante implementa e mantém, no mínimo, as seguintes medidas técnicas e organizativas:</w:t>
      </w:r>
    </w:p>
    <w:p>
      <w:pPr>
        <w:spacing w:after="40"/>
        <w:ind w:left="709" w:hanging="283"/>
      </w:pPr>
      <w:r>
        <w:rPr>
          <w:rFonts w:ascii="Times New Roman" w:hAnsi="Times New Roman" w:cs="Times New Roman" w:eastAsia="Times New Roman"/>
          <w:b w:val="0"/>
          <w:i w:val="0"/>
          <w:sz w:val="22"/>
        </w:rPr>
        <w:t>— cifragem dos dados em trânsito (TLS) e cifragem das cópias de segurança;</w:t>
      </w:r>
    </w:p>
    <w:p>
      <w:pPr>
        <w:spacing w:after="40"/>
        <w:ind w:left="709" w:hanging="283"/>
      </w:pPr>
      <w:r>
        <w:rPr>
          <w:rFonts w:ascii="Times New Roman" w:hAnsi="Times New Roman" w:cs="Times New Roman" w:eastAsia="Times New Roman"/>
          <w:b w:val="0"/>
          <w:i w:val="0"/>
          <w:sz w:val="22"/>
        </w:rPr>
        <w:t>— controlo de acessos por perfis, acesso administrativo com privilégio mínimo e contas individualmente imputáveis;</w:t>
      </w:r>
    </w:p>
    <w:p>
      <w:pPr>
        <w:spacing w:after="40"/>
        <w:ind w:left="709" w:hanging="283"/>
      </w:pPr>
      <w:r>
        <w:rPr>
          <w:rFonts w:ascii="Times New Roman" w:hAnsi="Times New Roman" w:cs="Times New Roman" w:eastAsia="Times New Roman"/>
          <w:b w:val="0"/>
          <w:i w:val="0"/>
          <w:sz w:val="22"/>
        </w:rPr>
        <w:t>— registo de auditoria da atividade de utilizadores e administradores, com conservação dos registos;</w:t>
      </w:r>
    </w:p>
    <w:p>
      <w:pPr>
        <w:spacing w:after="40"/>
        <w:ind w:left="709" w:hanging="283"/>
      </w:pPr>
      <w:r>
        <w:rPr>
          <w:rFonts w:ascii="Times New Roman" w:hAnsi="Times New Roman" w:cs="Times New Roman" w:eastAsia="Times New Roman"/>
          <w:b w:val="0"/>
          <w:i w:val="0"/>
          <w:sz w:val="22"/>
        </w:rPr>
        <w:t>— segmentação de rede entre ambientes;</w:t>
      </w:r>
    </w:p>
    <w:p>
      <w:pPr>
        <w:spacing w:after="40"/>
        <w:ind w:left="709" w:hanging="283"/>
      </w:pPr>
      <w:r>
        <w:rPr>
          <w:rFonts w:ascii="Times New Roman" w:hAnsi="Times New Roman" w:cs="Times New Roman" w:eastAsia="Times New Roman"/>
          <w:b w:val="0"/>
          <w:i w:val="0"/>
          <w:sz w:val="22"/>
        </w:rPr>
        <w:t>— cópias de segurança diárias nos termos da cláusula 3.5 do Anexo 3, com testes periódicos de reposição;</w:t>
      </w:r>
    </w:p>
    <w:p>
      <w:pPr>
        <w:spacing w:after="40"/>
        <w:ind w:left="709" w:hanging="283"/>
      </w:pPr>
      <w:r>
        <w:rPr>
          <w:rFonts w:ascii="Times New Roman" w:hAnsi="Times New Roman" w:cs="Times New Roman" w:eastAsia="Times New Roman"/>
          <w:b w:val="0"/>
          <w:i w:val="0"/>
          <w:sz w:val="22"/>
        </w:rPr>
        <w:t>— gestão de vulnerabilidades e aplicação atempada de atualizações de segurança;</w:t>
      </w:r>
    </w:p>
    <w:p>
      <w:pPr>
        <w:spacing w:after="40"/>
        <w:ind w:left="709" w:hanging="283"/>
      </w:pPr>
      <w:r>
        <w:rPr>
          <w:rFonts w:ascii="Times New Roman" w:hAnsi="Times New Roman" w:cs="Times New Roman" w:eastAsia="Times New Roman"/>
          <w:b w:val="0"/>
          <w:i w:val="0"/>
          <w:sz w:val="22"/>
        </w:rPr>
        <w:t>— compromissos de confidencialidade e formação em segurança do pessoal autorizado;</w:t>
      </w:r>
    </w:p>
    <w:p>
      <w:pPr>
        <w:spacing w:after="40"/>
        <w:ind w:left="709" w:hanging="283"/>
      </w:pPr>
      <w:r>
        <w:rPr>
          <w:rFonts w:ascii="Times New Roman" w:hAnsi="Times New Roman" w:cs="Times New Roman" w:eastAsia="Times New Roman"/>
          <w:b w:val="0"/>
          <w:i w:val="0"/>
          <w:sz w:val="22"/>
        </w:rPr>
        <w:t>— um processo documentado de resposta a incidentes;</w:t>
      </w:r>
    </w:p>
    <w:p>
      <w:pPr>
        <w:spacing w:after="40"/>
        <w:ind w:left="709" w:hanging="283"/>
      </w:pPr>
      <w:r>
        <w:rPr>
          <w:rFonts w:ascii="Times New Roman" w:hAnsi="Times New Roman" w:cs="Times New Roman" w:eastAsia="Times New Roman"/>
          <w:b w:val="0"/>
          <w:i w:val="0"/>
          <w:sz w:val="22"/>
        </w:rPr>
        <w:t>— uma pessoa designada como responsável pela organização do tratamento de dados pessoais;</w:t>
      </w:r>
    </w:p>
    <w:p>
      <w:pPr>
        <w:spacing w:after="40"/>
        <w:ind w:left="709" w:hanging="283"/>
      </w:pPr>
      <w:r>
        <w:rPr>
          <w:rFonts w:ascii="Times New Roman" w:hAnsi="Times New Roman" w:cs="Times New Roman" w:eastAsia="Times New Roman"/>
          <w:b w:val="0"/>
          <w:i w:val="0"/>
          <w:sz w:val="22"/>
        </w:rPr>
        <w:t>— políticas internas documentadas sobre o tratamento e a proteção de dados pessoais.</w:t>
      </w:r>
    </w:p>
    <w:p>
      <w:r>
        <w:rPr>
          <w:rFonts w:ascii="Times New Roman" w:hAnsi="Times New Roman" w:cs="Times New Roman" w:eastAsia="Times New Roman"/>
          <w:b/>
          <w:i w:val="0"/>
          <w:sz w:val="22"/>
        </w:rPr>
        <w:t>4.9. Subcontratantes ulteriores.</w:t>
      </w:r>
      <w:r>
        <w:rPr>
          <w:rFonts w:ascii="Times New Roman" w:hAnsi="Times New Roman" w:cs="Times New Roman" w:eastAsia="Times New Roman"/>
          <w:b w:val="0"/>
          <w:i w:val="0"/>
          <w:sz w:val="22"/>
        </w:rPr>
        <w:t xml:space="preserve"> O Licenciante só pode recorrer a subcontratantes ulteriores mediante contrato escrito que imponha obrigações equivalentes, e responde integralmente pela sua atuação. À data da presente versão não é utilizado qualquer subcontratante ulterior para além do operador do centro de dados que fornece a infraestrutura de computação da região de alojamento indicada na cláusula 4.12, o qual apenas disponibiliza capacidade e não realiza tratamento próprio. O Licenciante comunicará com, pelo menos, trinta (30) dias de antecedência qualquer adição ou substituição prevista, podendo o responsável opor-se por motivos razoáveis de proteção de dados; não sendo possível resolver a oposição, o responsável pode resolver os serviços afetados com reembolso proporcional.</w:t>
      </w:r>
    </w:p>
    <w:p>
      <w:r>
        <w:rPr>
          <w:rFonts w:ascii="Times New Roman" w:hAnsi="Times New Roman" w:cs="Times New Roman" w:eastAsia="Times New Roman"/>
          <w:b/>
          <w:i w:val="0"/>
          <w:sz w:val="22"/>
        </w:rPr>
        <w:t>4.10. Violações de dados pessoais.</w:t>
      </w:r>
      <w:r>
        <w:rPr>
          <w:rFonts w:ascii="Times New Roman" w:hAnsi="Times New Roman" w:cs="Times New Roman" w:eastAsia="Times New Roman"/>
          <w:b w:val="0"/>
          <w:i w:val="0"/>
          <w:sz w:val="22"/>
        </w:rPr>
        <w:t xml:space="preserve"> O Licenciante notificará o responsável sem demora injustificada e, em qualquer caso, no prazo de vinte e quatro (24) horas a contar do conhecimento de uma violação de dados pessoais que afete os seus dados, facultando a informação disponível sobre a natureza da violação, as categorias e o volume aproximado dos dados afetados, as consequências prováveis e as medidas adotadas.</w:t>
      </w:r>
    </w:p>
    <w:p>
      <w:r>
        <w:rPr>
          <w:rFonts w:ascii="Times New Roman" w:hAnsi="Times New Roman" w:cs="Times New Roman" w:eastAsia="Times New Roman"/>
          <w:b/>
          <w:i w:val="0"/>
          <w:sz w:val="22"/>
        </w:rPr>
        <w:t>4.11. Auditorias.</w:t>
      </w:r>
      <w:r>
        <w:rPr>
          <w:rFonts w:ascii="Times New Roman" w:hAnsi="Times New Roman" w:cs="Times New Roman" w:eastAsia="Times New Roman"/>
          <w:b w:val="0"/>
          <w:i w:val="0"/>
          <w:sz w:val="22"/>
        </w:rPr>
        <w:t xml:space="preserve"> O Licenciante disponibilizará a informação necessária para demonstrar o cumprimento do presente Anexo e permitirá e contribuirá para auditorias, incluindo inspeções, realizadas pelo responsável ou por auditor por ele mandatado, no máximo uma vez em cada doze (12) meses (salvo exigência de autoridade de controlo), com pré-aviso de trinta (30) dias, em horário de expediente, com sujeição a confidencialidade e ao reembolso razoável de custos.</w:t>
      </w:r>
    </w:p>
    <w:p>
      <w:r>
        <w:rPr>
          <w:rFonts w:ascii="Times New Roman" w:hAnsi="Times New Roman" w:cs="Times New Roman" w:eastAsia="Times New Roman"/>
          <w:b/>
          <w:i w:val="0"/>
          <w:sz w:val="22"/>
        </w:rPr>
        <w:t>4.12. Transferências internacionais.</w:t>
      </w:r>
      <w:r>
        <w:rPr>
          <w:rFonts w:ascii="Times New Roman" w:hAnsi="Times New Roman" w:cs="Times New Roman" w:eastAsia="Times New Roman"/>
          <w:b w:val="0"/>
          <w:i w:val="0"/>
          <w:sz w:val="22"/>
        </w:rPr>
        <w:t xml:space="preserve"> Região de alojamento: União Europeia (Frankfurt am Main, Alemanha). O Conteúdo do Cliente e os dados pessoais tratados nos termos das presentes Condições são armazenados na UE e não fora dela.</w:t>
      </w:r>
    </w:p>
    <w:p>
      <w:r>
        <w:rPr>
          <w:rFonts w:ascii="Times New Roman" w:hAnsi="Times New Roman" w:cs="Times New Roman" w:eastAsia="Times New Roman"/>
          <w:b w:val="0"/>
          <w:i w:val="0"/>
          <w:sz w:val="22"/>
        </w:rPr>
        <w:t>O Licenciante está estabelecido nos Estados Unidos. Quando o seu pessoal aceder a dados pessoais a partir de fora do EEE para prestar suporte nos termos da cláusula C.3.3, tal acesso constitui transferência para país terceiro e realiza-se ao abrigo das Cláusulas Contratuais-Tipo da UE (Decisão de Execução (UE) 2021/914), Módulo Dois (responsável para subcontratante), que se incorporam nas presentes Condições por remissão, em conjunto com o UK International Data Transfer Addendum quando for aplicável o RGPD do Reino Unido. Aplica-se a cláusula facultativa de adesão. Lei aplicável e foro das Cláusulas Contratuais-Tipo: Alemanha. Os Anexos I a III dessas Cláusulas são preenchidos pelas cláusulas 4.1 a 4.9 do presente Anexo.</w:t>
      </w:r>
    </w:p>
    <w:p>
      <w:r>
        <w:rPr>
          <w:rFonts w:ascii="Times New Roman" w:hAnsi="Times New Roman" w:cs="Times New Roman" w:eastAsia="Times New Roman"/>
          <w:b/>
          <w:i w:val="0"/>
          <w:sz w:val="22"/>
        </w:rPr>
        <w:t>4.13. Localização de dados.</w:t>
      </w:r>
      <w:r>
        <w:rPr>
          <w:rFonts w:ascii="Times New Roman" w:hAnsi="Times New Roman" w:cs="Times New Roman" w:eastAsia="Times New Roman"/>
          <w:b w:val="0"/>
          <w:i w:val="0"/>
          <w:sz w:val="22"/>
        </w:rPr>
        <w:t xml:space="preserve"> Quando o responsável esteja sujeito a exigência de localização de dados, a região de alojamento é acordada no Formulário de Pedido. As implementações que por lei devam ser alojadas na Federação da Rússia não integram o objeto das presentes Condições; ao abrigo das presentes Condições não é aí alojado qualquer dado pessoal.</w:t>
      </w:r>
    </w:p>
    <w:p>
      <w:r>
        <w:rPr>
          <w:rFonts w:ascii="Times New Roman" w:hAnsi="Times New Roman" w:cs="Times New Roman" w:eastAsia="Times New Roman"/>
          <w:b/>
          <w:i w:val="0"/>
          <w:sz w:val="22"/>
        </w:rPr>
        <w:t>4.14. On-Premise.</w:t>
      </w:r>
      <w:r>
        <w:rPr>
          <w:rFonts w:ascii="Times New Roman" w:hAnsi="Times New Roman" w:cs="Times New Roman" w:eastAsia="Times New Roman"/>
          <w:b w:val="0"/>
          <w:i w:val="0"/>
          <w:sz w:val="22"/>
        </w:rPr>
        <w:t xml:space="preserve"> No modelo On-Premise não são transmitidos dados pessoais ao Licenciante. Sendo concedido acesso de suporte nos termos da cláusula C.3.3, esse acesso é instruído pelo responsável em cada pedido e fica sujeito ao presente Anexo enquanto durar.</w:t>
      </w:r>
    </w:p>
    <w:p>
      <w:pPr>
        <w:pStyle w:val="Heading1"/>
        <w:keepNext/>
        <w:jc w:val="center"/>
      </w:pPr>
      <w:r>
        <w:rPr>
          <w:rFonts w:ascii="Times New Roman" w:hAnsi="Times New Roman" w:cs="Times New Roman" w:eastAsia="Times New Roman"/>
          <w:b/>
          <w:i w:val="0"/>
          <w:sz w:val="26"/>
        </w:rPr>
        <w:t>ANEXO 5. REQUISITOS DE INFRAESTRUTURA (ON-PREMISE)</w:t>
      </w:r>
    </w:p>
    <w:p>
      <w:r>
        <w:rPr>
          <w:rFonts w:ascii="Times New Roman" w:hAnsi="Times New Roman" w:cs="Times New Roman" w:eastAsia="Times New Roman"/>
          <w:b w:val="0"/>
          <w:i w:val="0"/>
          <w:sz w:val="22"/>
        </w:rPr>
        <w:t>Configuração mínima do servidor para uma Instância On-Premise: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Componente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Mínimo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núcleos físicos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 GB de VRAM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Armazenamento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SSD de 200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Rede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Mbit/s (1 Gbit/s recomendado)</w:t>
            </w:r>
          </w:p>
        </w:tc>
      </w:tr>
    </w:tbl>
    <w:p>
      <w:pPr>
        <w:spacing w:after="80"/>
      </w:pPr>
    </w:p>
    <w:p>
      <w:r>
        <w:rPr>
          <w:rFonts w:ascii="Times New Roman" w:hAnsi="Times New Roman" w:cs="Times New Roman" w:eastAsia="Times New Roman"/>
          <w:b/>
          <w:i w:val="0"/>
          <w:sz w:val="22"/>
        </w:rPr>
        <w:t>Notas.</w:t>
      </w:r>
    </w:p>
    <w:p>
      <w:pPr>
        <w:spacing w:after="40"/>
        <w:ind w:left="709" w:hanging="425"/>
      </w:pPr>
      <w:r>
        <w:rPr>
          <w:rFonts w:ascii="Times New Roman" w:hAnsi="Times New Roman" w:cs="Times New Roman" w:eastAsia="Times New Roman"/>
          <w:b w:val="0"/>
          <w:i w:val="0"/>
          <w:sz w:val="22"/>
        </w:rPr>
        <w:t>1. O dimensionamento acima do mínimo é determinado pelo Parceiro em função do número de Locais, Máquinas Abrangidas e Dispositivos.</w:t>
      </w:r>
    </w:p>
    <w:p>
      <w:pPr>
        <w:spacing w:after="40"/>
        <w:ind w:left="709" w:hanging="425"/>
      </w:pPr>
      <w:r>
        <w:rPr>
          <w:rFonts w:ascii="Times New Roman" w:hAnsi="Times New Roman" w:cs="Times New Roman" w:eastAsia="Times New Roman"/>
          <w:b w:val="0"/>
          <w:i w:val="0"/>
          <w:sz w:val="22"/>
        </w:rPr>
        <w:t>2. Uma Instância On-Premise pode funcionar integralmente sem ligação à internet.</w:t>
      </w:r>
    </w:p>
    <w:p>
      <w:pPr>
        <w:spacing w:after="40"/>
        <w:ind w:left="709" w:hanging="425"/>
      </w:pPr>
      <w:r>
        <w:rPr>
          <w:rFonts w:ascii="Times New Roman" w:hAnsi="Times New Roman" w:cs="Times New Roman" w:eastAsia="Times New Roman"/>
          <w:b w:val="0"/>
          <w:i w:val="0"/>
          <w:sz w:val="22"/>
        </w:rPr>
        <w:t>3. A alimentação elétrica, a refrigeração, a segurança física da sala de servidores, as cópias de segurança e a proteção contra software malicioso competem à Contraparte.</w:t>
      </w:r>
    </w:p>
    <w:p>
      <w:pPr>
        <w:spacing w:after="40"/>
        <w:ind w:left="709" w:hanging="425"/>
      </w:pPr>
      <w:r>
        <w:rPr>
          <w:rFonts w:ascii="Times New Roman" w:hAnsi="Times New Roman" w:cs="Times New Roman" w:eastAsia="Times New Roman"/>
          <w:b w:val="0"/>
          <w:i w:val="0"/>
          <w:sz w:val="22"/>
        </w:rPr>
        <w:t>4. Os requisitos de sistema operativo, virtualização e software de terceiros constam da documentação técnica entregue na implementação. As licenças de software de sistema de terceiros são adquiridas pela Contraparte.</w:t>
      </w:r>
    </w:p>
    <w:p>
      <w:pPr>
        <w:pStyle w:val="Heading1"/>
        <w:keepNext/>
        <w:jc w:val="center"/>
      </w:pPr>
      <w:r>
        <w:rPr>
          <w:rFonts w:ascii="Times New Roman" w:hAnsi="Times New Roman" w:cs="Times New Roman" w:eastAsia="Times New Roman"/>
          <w:b/>
          <w:i w:val="0"/>
          <w:sz w:val="26"/>
        </w:rPr>
        <w:t>ANEXO 6. MODELO DE FORMULÁRIO DE PEDIDO</w:t>
      </w:r>
    </w:p>
    <w:p>
      <w:r>
        <w:rPr>
          <w:rFonts w:ascii="Times New Roman" w:hAnsi="Times New Roman" w:cs="Times New Roman" w:eastAsia="Times New Roman"/>
          <w:b/>
          <w:i w:val="0"/>
          <w:sz w:val="22"/>
        </w:rPr>
        <w:t>FORMULÁRIO DE PEDIDO n.º ____ de __ de ________ de 20__</w:t>
      </w:r>
      <w:r>
        <w:rPr>
          <w:rFonts w:ascii="Times New Roman" w:hAnsi="Times New Roman" w:cs="Times New Roman" w:eastAsia="Times New Roman"/>
          <w:b w:val="0"/>
          <w:i w:val="0"/>
          <w:sz w:val="22"/>
        </w:rPr>
        <w:t xml:space="preserve"> ao abrigo das Condições de Licença do ARSY AI (versão de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N.º</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Rubrica</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Contraparte (denominação completa, número de registo, sede)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Estatuto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Parceiro (integrador certificado)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Plano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Modelo de Implementação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Nuvem Gerida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Locais (nome, morada)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Máquinas Abrangidas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Dispositivos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Opções (integrações, lógica à medida, outras)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Prazo da Licença (início — termo)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Período de Faturação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Mensal / Anual</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Renovação automática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Sim / Não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Remuneração por Período de Faturação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Condições de pagamento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Moeda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USD / EUR / outra</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Região de alojamento (Nuvem Gerida)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Parceiro responsável pela implementação e pelo suporte de primeiro nível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Pessoa de contacto (nome, cargo, telefone, correio eletrónico)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Endereço de correio eletrónico para comunicações formais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Condições especiais</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Com a assinatura do presente Formulário de Pedido, ou com o pagamento de fatura nele baseada, a Contraparte aceita integralmente as Condições de Licença do ARSY AI na versão indicada.</w:t>
      </w:r>
    </w:p>
    <w:p>
      <w:r>
        <w:rPr>
          <w:rFonts w:ascii="Times New Roman" w:hAnsi="Times New Roman" w:cs="Times New Roman" w:eastAsia="Times New Roman"/>
          <w:b/>
          <w:i w:val="0"/>
          <w:sz w:val="22"/>
        </w:rPr>
        <w:t>Licenciante:</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Contraparte:</w:t>
      </w:r>
      <w:r>
        <w:rPr>
          <w:rFonts w:ascii="Times New Roman" w:hAnsi="Times New Roman" w:cs="Times New Roman" w:eastAsia="Times New Roman"/>
          <w:b w:val="0"/>
          <w:i w:val="0"/>
          <w:sz w:val="22"/>
        </w:rPr>
        <w:t xml:space="preserve"> ____________________ / ____________ /</w:t>
      </w:r>
    </w:p>
    <w:p>
      <w:pPr>
        <w:pStyle w:val="Heading1"/>
        <w:keepNext/>
        <w:jc w:val="center"/>
      </w:pPr>
      <w:r>
        <w:rPr>
          <w:rFonts w:ascii="Times New Roman" w:hAnsi="Times New Roman" w:cs="Times New Roman" w:eastAsia="Times New Roman"/>
          <w:b/>
          <w:i w:val="0"/>
          <w:sz w:val="26"/>
        </w:rPr>
        <w:t>DADOS DO LICENCIANTE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Denominação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Forma jurídica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Sociedade anónima do Delaware, constituída em 13 de fevereiro de 2023</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Número de registo no Delaware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Sede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Agente registado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Estabelecimento principal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447 Broadway, 2nd Floor, 1156, New York, NY 10013, Estados Unidos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Correio eletrónico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Sítio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Os dados bancários do Licenciante constam do Formulário de Pedido e da fatura nele baseada.</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Condições de Licença ARSY AI · mundial · via integrador · versão 23.07.2026 · pág.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pt-PT"/>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